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ELSTER-/Finanzamt-Fragen</w:t>
      </w:r>
    </w:p>
    <w:p>
      <w:pPr>
        <w:pStyle w:val="ListBullet"/>
      </w:pPr>
      <w:r>
        <w:t>Tätigkeitsbeginn: 15.04.2026</w:t>
      </w:r>
    </w:p>
    <w:p>
      <w:pPr>
        <w:pStyle w:val="ListBullet"/>
      </w:pPr>
      <w:r>
        <w:t>Tätigkeiten: Corporate Design, Präsentationsvorlagen, Workshops, digitale Templates, gelegentlich Druckdaten</w:t>
      </w:r>
    </w:p>
    <w:p>
      <w:pPr>
        <w:pStyle w:val="ListBullet"/>
      </w:pPr>
      <w:r>
        <w:t>Erwarteter Umsatz 2026: 42.000 EUR, davon Nordstern voraussichtlich 31.000 EUR</w:t>
      </w:r>
    </w:p>
    <w:p>
      <w:pPr>
        <w:pStyle w:val="ListBullet"/>
      </w:pPr>
      <w:r>
        <w:t>Erwarteter Umsatz 2027: unsicher zwischen 55.000 und 90.000 EUR</w:t>
      </w:r>
    </w:p>
    <w:p>
      <w:pPr>
        <w:pStyle w:val="ListBullet"/>
      </w:pPr>
      <w:r>
        <w:t>Betriebsausgaben: Laptop 2.400 EUR, Kamera 1.100 EUR, Adobe/Fonts/Cloud 180 EUR monatlich, Coworking 390 EUR monatlich, Bahn/Carsharing schwankend</w:t>
      </w:r>
    </w:p>
    <w:p>
      <w:pPr>
        <w:pStyle w:val="ListBullet"/>
      </w:pPr>
      <w:r>
        <w:t>Offene Frage: Kleinunternehmerregelung nach § 19 UStG sinnvoll, obwohl B2B-Kunden überwiegend vorsteuerabzugsberechtigt sind?</w:t>
      </w:r>
    </w:p>
    <w:p>
      <w:pPr>
        <w:pStyle w:val="ListBullet"/>
      </w:pPr>
      <w:r>
        <w:t>Offene Frage: Gewerbe oder freier Beruf? Workshop-Anteile und Template-Shop könnten Gewerbeanteil auslösen.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ELSTER-/Finanzamt-Fragen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ELSTER-/Finanzamt-Fragen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