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Rahmenvertrag Nordstern Markenraum GmbH</w:t>
      </w:r>
    </w:p>
    <w:p>
      <w:pPr>
        <w:pStyle w:val="Heading2"/>
      </w:pPr>
      <w:r>
        <w:t>Leistungsumfang</w:t>
      </w:r>
    </w:p>
    <w:p>
      <w:r>
        <w:t>Luise soll als externe Designerin das Rebranding-Projekt "NOVA Legal Cloud" begleiten. Der Entwurf spricht von "laufender Unterstützung nach Weisung des Projektleiters" und verlangt Anwesenheit dienstags und donnerstags 10:00 bis 17:00 Uhr im Berliner Büro.</w:t>
      </w:r>
    </w:p>
    <w:p>
      <w:pPr>
        <w:pStyle w:val="Heading2"/>
      </w:pPr>
      <w:r>
        <w:t>Rechte</w:t>
      </w:r>
    </w:p>
    <w:p>
      <w:r>
        <w:t>Alle Arbeitsergebnisse, Skizzen, Zwischenstände, Prompts, Präsentationen und nicht verwendeten Entwürfe sollen exklusiv, zeitlich, räumlich und inhaltlich unbeschränkt übertragen werden. Eine Referenznennung ist nur mit schriftlicher Freigabe erlaubt.</w:t>
      </w:r>
    </w:p>
    <w:p>
      <w:pPr>
        <w:pStyle w:val="Heading2"/>
      </w:pPr>
      <w:r>
        <w:t>Vergütung</w:t>
      </w:r>
    </w:p>
    <w:p>
      <w:r>
        <w:t>Pauschal 6.800 EUR monatlich bei geschätzten 8 bis 12 Tagen. Änderungswünsche sind laut Entwurf mit umfasst.</w:t>
      </w:r>
    </w:p>
    <w:p>
      <w:pPr>
        <w:pStyle w:val="Heading2"/>
      </w:pPr>
      <w:r>
        <w:t>Risiko</w:t>
      </w:r>
    </w:p>
    <w:p>
      <w:r>
        <w:t>Der Vertrag riecht nach Scope Creep und enthält Indizien für Eingliederung. Zugleich fehlen klare Abnahme, Nutzungsrechtsstaffel, Ausfallregelung und Zahlungsverzug.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Entwurf Rahmenvertrag Nordstern Markenraum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Entwurf Rahmenvertrag Nordstern Markenraum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