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Terminsverfügung und Hinweise zur mündlichen Verhandlung</w:t>
      </w:r>
    </w:p>
    <w:p>
      <w:r>
        <w:rPr>
          <w:rFonts w:ascii="Times New Roman" w:hAnsi="Times New Roman"/>
          <w:b/>
          <w:i w:val="0"/>
          <w:sz w:val="22"/>
        </w:rPr>
        <w:t>Sozialgericht Oldenburg</w:t>
      </w:r>
    </w:p>
    <w:p>
      <w:r>
        <w:rPr>
          <w:rFonts w:ascii="Times New Roman" w:hAnsi="Times New Roman"/>
          <w:b w:val="0"/>
          <w:i w:val="0"/>
          <w:sz w:val="22"/>
        </w:rPr>
        <w:t>Kammer für Krankenversicherungssachen</w:t>
      </w:r>
    </w:p>
    <w:p>
      <w:r>
        <w:rPr>
          <w:rFonts w:ascii="Times New Roman" w:hAnsi="Times New Roman"/>
          <w:b w:val="0"/>
          <w:i w:val="0"/>
          <w:sz w:val="22"/>
        </w:rPr>
        <w:t>Klingenbergstraße 4, 26133 Oldenburg</w:t>
      </w:r>
    </w:p>
    <w:p/>
    <w:p>
      <w:pPr>
        <w:jc w:val="right"/>
      </w:pPr>
      <w:r>
        <w:rPr>
          <w:rFonts w:ascii="Times New Roman" w:hAnsi="Times New Roman"/>
          <w:b w:val="0"/>
          <w:i w:val="0"/>
          <w:sz w:val="22"/>
        </w:rPr>
        <w:t>Aktenzeichen: S 12 KR 188/26</w:t>
      </w:r>
    </w:p>
    <w:p>
      <w:pPr>
        <w:jc w:val="right"/>
      </w:pPr>
      <w:r>
        <w:rPr>
          <w:rFonts w:ascii="Times New Roman" w:hAnsi="Times New Roman"/>
          <w:b w:val="0"/>
          <w:i w:val="0"/>
          <w:sz w:val="22"/>
        </w:rPr>
        <w:t>Oldenburg, den 25.09.2026</w:t>
      </w:r>
    </w:p>
    <w:p/>
    <w:p>
      <w:r>
        <w:rPr>
          <w:rFonts w:ascii="Times New Roman" w:hAnsi="Times New Roman"/>
          <w:b w:val="0"/>
          <w:i w:val="0"/>
          <w:sz w:val="22"/>
        </w:rPr>
        <w:t>In dem Rechtsstreit Körner gegen Weser-Ems Gesundheitskasse wird Termin zur mündlichen Verhandlung bestimmt auf:</w:t>
      </w:r>
    </w:p>
    <w:p>
      <w:r>
        <w:rPr>
          <w:rFonts w:ascii="Times New Roman" w:hAnsi="Times New Roman"/>
          <w:b w:val="0"/>
          <w:i w:val="0"/>
          <w:sz w:val="22"/>
        </w:rPr>
        <w:t>Donnerstag, den 22.10.2026, 10.30 Uhr, Sitzungssaal 3.</w:t>
      </w:r>
    </w:p>
    <w:p>
      <w:pPr>
        <w:pStyle w:val="Heading2"/>
      </w:pPr>
      <w:r>
        <w:t>Hinweise der Kammer</w:t>
      </w:r>
    </w:p>
    <w:p>
      <w:r>
        <w:rPr>
          <w:rFonts w:ascii="Times New Roman" w:hAnsi="Times New Roman"/>
          <w:b w:val="0"/>
          <w:i w:val="0"/>
          <w:sz w:val="22"/>
        </w:rPr>
        <w:t>Das eingeholte Sachverständigengutachten vom 16.09.2026 liegt den Beteiligten vor. Die Kammer weist darauf hin, dass sich die Entscheidung maßgeblich auf die dort getroffenen Feststellungen zur Gehstrecke mit Rollator, zur Belastbarkeit beim manuellen Rollstuhlantrieb und zum Ergebnis des Fahrversuchs mit dem Elektrorollstuhl stützen wird.</w:t>
      </w:r>
    </w:p>
    <w:p>
      <w:r>
        <w:rPr>
          <w:rFonts w:ascii="Times New Roman" w:hAnsi="Times New Roman"/>
          <w:b w:val="0"/>
          <w:i w:val="0"/>
          <w:sz w:val="22"/>
        </w:rPr>
        <w:t>Die Beteiligten erhalten Gelegenheit, bis zum Termin ergänzend vorzutragen, insbesondere zu der Frage, ob und in welchem Umfang die im Gutachten beschriebene Erschöpfung bei Nutzung des manuellen Rollstuhls eine dauerhafte, alltagstaugliche Versorgung ausschließt.</w:t>
      </w:r>
    </w:p>
    <w:p>
      <w:r>
        <w:rPr>
          <w:rFonts w:ascii="Times New Roman" w:hAnsi="Times New Roman"/>
          <w:b w:val="0"/>
          <w:i w:val="0"/>
          <w:sz w:val="22"/>
        </w:rPr>
        <w:t>Ein Vergleichsvorschlag wurde bislang von keiner Seite unterbreitet. Die Kammer regt an, vor dem Termin zu prüfen, ob eine gütliche Einigung, etwa durch eine testweise Versorgung mit Rückgaberecht, in Betracht kommt.</w:t>
      </w:r>
    </w:p>
    <w:p>
      <w:pPr>
        <w:pStyle w:val="Heading2"/>
      </w:pPr>
      <w:r>
        <w:t>Ladung der Beteiligten</w:t>
      </w:r>
    </w:p>
    <w:p>
      <w:r>
        <w:rPr>
          <w:rFonts w:ascii="Times New Roman" w:hAnsi="Times New Roman"/>
          <w:b w:val="0"/>
          <w:i w:val="0"/>
          <w:sz w:val="22"/>
        </w:rPr>
        <w:t>Geladen werden der Kläger persönlich sowie ein Vertreter der Beklagten mit Entscheidungsbefugnis. Der Sachverständigen wird anheimgestellt, an der Verhandlung teilzunehmen, falls Rückfragen zum Gutachten zu erwarten sind.</w:t>
      </w:r>
    </w:p>
    <w:sectPr w:rsidR="00FC693F" w:rsidRPr="0006063C" w:rsidSect="00034616">
      <w:headerReference w:type="default" r:id="rId9"/>
      <w:footerReference w:type="default" r:id="rId10"/>
      <w:pgSz w:w="11906" w:h="16838"/>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Sozialgericht Oldenburg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Sozialgericht Oldenburg</w:t>
    </w:r>
  </w:p>
  <w:p>
    <w:pPr>
      <w:jc w:val="left"/>
      <w:pBdr>
        <w:bottom w:val="single" w:sz="6" w:space="2" w:color="3B3F45"/>
      </w:pBdr>
    </w:pPr>
    <w:r>
      <w:rPr>
        <w:rFonts w:ascii="Times New Roman" w:hAnsi="Times New Roman"/>
        <w:color w:val="6B6B66"/>
        <w:sz w:val="16"/>
      </w:rPr>
      <w:t>Gericht · Aktenzeichen: S 12 KR 188/26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