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Vergleichsangebot der Krankenkasse, Standardmodell</w:t>
      </w:r>
    </w:p>
    <w:p>
      <w:r>
        <w:rPr>
          <w:rFonts w:ascii="Times New Roman" w:hAnsi="Times New Roman"/>
          <w:b/>
          <w:i w:val="0"/>
          <w:sz w:val="22"/>
        </w:rPr>
        <w:t>Weser-Ems Gesundheitskasse</w:t>
      </w:r>
    </w:p>
    <w:p>
      <w:r>
        <w:rPr>
          <w:rFonts w:ascii="Times New Roman" w:hAnsi="Times New Roman"/>
          <w:b w:val="0"/>
          <w:i w:val="0"/>
          <w:sz w:val="22"/>
        </w:rPr>
        <w:t>Leistungsabteilung Hilfsmittel</w:t>
      </w:r>
    </w:p>
    <w:p>
      <w:r>
        <w:rPr>
          <w:rFonts w:ascii="Times New Roman" w:hAnsi="Times New Roman"/>
          <w:b w:val="0"/>
          <w:i w:val="0"/>
          <w:sz w:val="22"/>
        </w:rPr>
        <w:t>Huntestraße 14, 26135 Oldenburg</w:t>
      </w:r>
    </w:p>
    <w:p/>
    <w:p>
      <w:r>
        <w:rPr>
          <w:rFonts w:ascii="Times New Roman" w:hAnsi="Times New Roman"/>
          <w:b w:val="0"/>
          <w:i w:val="0"/>
          <w:sz w:val="22"/>
        </w:rPr>
        <w:t>Schreiben vom 09.06.2026 an das Sanitätshaus RehaTechnik Albrecht GmbH, zur Kenntnis an den Versicherten.</w:t>
      </w:r>
    </w:p>
    <w:p>
      <w:pPr>
        <w:pStyle w:val="Heading2"/>
      </w:pPr>
      <w:r>
        <w:t>1. Angebot der Kasse</w:t>
      </w:r>
    </w:p>
    <w:p>
      <w:r>
        <w:rPr>
          <w:rFonts w:ascii="Times New Roman" w:hAnsi="Times New Roman"/>
          <w:b w:val="0"/>
          <w:i w:val="0"/>
          <w:sz w:val="22"/>
        </w:rPr>
        <w:t>Die Weser-Ems Gesundheitskasse bietet im Rahmen ihres Vertragssortiments einen Standard-Faltrollstuhl zum Vertragspreis von 740.00 EUR sowie ergänzend eine Unterarmgehstütze zum Preis von 38.00 EUR an. Beide Hilfsmittel seien im Hilfsmittelverzeichnis unter Produktgruppe 18 und 22 gelistet und aus Sicht der Kasse ausreichend.</w:t>
      </w:r>
    </w:p>
    <w:p>
      <w:pPr>
        <w:pStyle w:val="Heading2"/>
      </w:pPr>
      <w:r>
        <w:t>2. Begründung der Kasse</w:t>
      </w:r>
    </w:p>
    <w:p>
      <w:r>
        <w:rPr>
          <w:rFonts w:ascii="Times New Roman" w:hAnsi="Times New Roman"/>
          <w:b w:val="0"/>
          <w:i w:val="0"/>
          <w:sz w:val="22"/>
        </w:rPr>
        <w:t>Nach der Stellungnahme des Medizinischen Dienstes vom 05.06.2026 bestehe eine Restgehfähigkeit, die in Verbindung mit einem Rollator und einem Faltrollstuhl für Begleitwege ausreiche. Die Kasse verweist auf das Wirtschaftlichkeitsgebot nach Paragraf 12 SGB V.</w:t>
      </w:r>
    </w:p>
    <w:p>
      <w:pPr>
        <w:pStyle w:val="Heading2"/>
      </w:pPr>
      <w:r>
        <w:t>3. Reaktion der Kanzlei</w:t>
      </w:r>
    </w:p>
    <w:p>
      <w:r>
        <w:rPr>
          <w:rFonts w:ascii="Times New Roman" w:hAnsi="Times New Roman"/>
          <w:b w:val="0"/>
          <w:i w:val="0"/>
          <w:sz w:val="22"/>
        </w:rPr>
        <w:t>Mit Schreiben vom 16.06.2026 weist die Kanzlei darauf hin, dass der Faltrollstuhl nach dem privaten Reha-Gutachten vom Versicherten nicht selbstständig angetrieben werden kann und daher keine gleich geeignete Alternative darstellt. Das Vergleichsangebot wird ausdrücklich nicht angenommen.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Sanitätshaus RehaTechnik Albrecht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Sanitätshaus RehaTechnik Albrecht GmbH</w:t>
    </w:r>
  </w:p>
  <w:p>
    <w:pPr>
      <w:jc w:val="left"/>
      <w:pBdr>
        <w:bottom w:val="single" w:sz="6" w:space="2" w:color="11555F"/>
      </w:pBdr>
    </w:pPr>
    <w:r>
      <w:rPr>
        <w:rFonts w:ascii="Times New Roman" w:hAnsi="Times New Roman"/>
        <w:color w:val="6B6B66"/>
        <w:sz w:val="16"/>
      </w:rPr>
      <w:t>zur Kenntnis an den Versicherten.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