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Gerichtliches Sachverständigengutachten</w:t>
      </w:r>
    </w:p>
    <w:p>
      <w:r>
        <w:rPr>
          <w:rFonts w:ascii="Times New Roman" w:hAnsi="Times New Roman"/>
          <w:b w:val="0"/>
          <w:i w:val="0"/>
          <w:sz w:val="22"/>
        </w:rPr>
        <w:t>Prof. Dr. med. Anneliese Wickenrath</w:t>
      </w:r>
    </w:p>
    <w:p>
      <w:r>
        <w:rPr>
          <w:rFonts w:ascii="Times New Roman" w:hAnsi="Times New Roman"/>
          <w:b w:val="0"/>
          <w:i w:val="0"/>
          <w:sz w:val="22"/>
        </w:rPr>
        <w:t>Fachärztin für Orthopädie und Unfallchirurgie, Physikalische und Rehabilitative Medizin</w:t>
      </w:r>
    </w:p>
    <w:p>
      <w:r>
        <w:rPr>
          <w:rFonts w:ascii="Times New Roman" w:hAnsi="Times New Roman"/>
          <w:b w:val="0"/>
          <w:i w:val="0"/>
          <w:sz w:val="22"/>
        </w:rPr>
        <w:t>Domsheide 9, 28195 Bremen</w:t>
      </w:r>
    </w:p>
    <w:p/>
    <w:p>
      <w:pPr>
        <w:jc w:val="right"/>
      </w:pPr>
      <w:r>
        <w:rPr>
          <w:rFonts w:ascii="Times New Roman" w:hAnsi="Times New Roman"/>
          <w:b w:val="0"/>
          <w:i w:val="0"/>
          <w:sz w:val="22"/>
        </w:rPr>
        <w:t>Auftraggeber: Sozialgericht Oldenburg, Aktenzeichen S 12 KR 188/26</w:t>
      </w:r>
    </w:p>
    <w:p>
      <w:pPr>
        <w:jc w:val="right"/>
      </w:pPr>
      <w:r>
        <w:rPr>
          <w:rFonts w:ascii="Times New Roman" w:hAnsi="Times New Roman"/>
          <w:b w:val="0"/>
          <w:i w:val="0"/>
          <w:sz w:val="22"/>
        </w:rPr>
        <w:t>Untersuchungstermin: 02.09.2026, Bremen</w:t>
      </w:r>
    </w:p>
    <w:p>
      <w:pPr>
        <w:jc w:val="right"/>
      </w:pPr>
      <w:r>
        <w:rPr>
          <w:rFonts w:ascii="Times New Roman" w:hAnsi="Times New Roman"/>
          <w:b w:val="0"/>
          <w:i w:val="0"/>
          <w:sz w:val="22"/>
        </w:rPr>
        <w:t>Gutachten vom 16.09.2026</w:t>
      </w:r>
    </w:p>
    <w:p>
      <w:pPr>
        <w:pStyle w:val="Heading2"/>
      </w:pPr>
      <w:r>
        <w:t>1. Auftrag</w:t>
      </w:r>
    </w:p>
    <w:p>
      <w:r>
        <w:rPr>
          <w:rFonts w:ascii="Times New Roman" w:hAnsi="Times New Roman"/>
          <w:b w:val="0"/>
          <w:i w:val="0"/>
          <w:sz w:val="22"/>
        </w:rPr>
        <w:t>Mit Beweisbeschluss vom 05.08.2026 wurde die Unterzeichnende beauftragt, zur Gehfähigkeit, zur Nutzbarkeit eines manuellen Rollstuhls sowie zur Fahrsicherheit mit einem Elektrorollstuhl bei Herrn Heinz Körner Stellung zu nehmen.</w:t>
      </w:r>
    </w:p>
    <w:p>
      <w:pPr>
        <w:pStyle w:val="Heading2"/>
      </w:pPr>
      <w:r>
        <w:t>2. Untersuchungsbefund</w:t>
      </w:r>
    </w:p>
    <w:p>
      <w:r>
        <w:rPr>
          <w:rFonts w:ascii="Times New Roman" w:hAnsi="Times New Roman"/>
          <w:b w:val="0"/>
          <w:i w:val="0"/>
          <w:sz w:val="22"/>
        </w:rPr>
        <w:t>Der Kläger erschien in Begleitung seiner Tochter zur Untersuchung. Klinisch zeigt sich eine deutliche Gangunsicherheit mit verkürzter Schrittlänge und breitbasigem Gangbild. Bei der Gehprobe im Klinikflur legte der Kläger mit Rollator eine Strecke von etwa 40 Metern zurück, danach musste er sich wegen Erschöpfung und einsetzendem Schwindel setzen. Eine Sensibilitätsprüfung der Füße ergab eine deutlich herabgesetzte Berührungsempfindung beidseits, vereinbar mit der bekannten diabetischen Polyneuropathie.</w:t>
      </w:r>
    </w:p>
    <w:p>
      <w:r>
        <w:rPr>
          <w:rFonts w:ascii="Times New Roman" w:hAnsi="Times New Roman"/>
          <w:b w:val="0"/>
          <w:i w:val="0"/>
          <w:sz w:val="22"/>
        </w:rPr>
        <w:t>Die Schulterbeweglichkeit rechts ist endgradig eingeschränkt, links besteht Zustand nach der Hüft-TEP ohne relevante Einschränkung der oberen Extremität. Beim Antriebsversuch mit einem testweise bereitgestellten manuellen Aktivrollstuhl konnte der Kläger eine Strecke von 30 Metern auf ebenem Boden zurücklegen, danach zeigte sich eine deutliche muskuläre Erschöpfung der Schultern.</w:t>
      </w:r>
    </w:p>
    <w:p>
      <w:r>
        <w:rPr>
          <w:rFonts w:ascii="Times New Roman" w:hAnsi="Times New Roman"/>
          <w:b w:val="0"/>
          <w:i w:val="0"/>
          <w:sz w:val="22"/>
        </w:rPr>
        <w:t>Der Fahrversuch mit einem auf niedrige Geschwindigkeit programmierten Elektrorollstuhl verlief unauffällig. Der Kläger zeigte ein sicheres Bedienverhalten, angemessene Reaktionszeiten und keine Anzeichen von Fehlbedienung in mehreren Kurvenfahrten und beim Anhalten vor Hindernissen.</w:t>
      </w:r>
    </w:p>
    <w:p>
      <w:pPr>
        <w:pStyle w:val="Heading2"/>
      </w:pPr>
      <w:r>
        <w:t>3. Beantwortung der Beweisfragen</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Beweisfrage</w:t>
            </w:r>
          </w:p>
        </w:tc>
        <w:tc>
          <w:tcPr>
            <w:tcW w:type="dxa" w:w="4320"/>
          </w:tcPr>
          <w:p>
            <w:r/>
            <w:r>
              <w:rPr>
                <w:rFonts w:ascii="Times New Roman" w:hAnsi="Times New Roman"/>
                <w:b/>
                <w:sz w:val="20"/>
              </w:rPr>
              <w:t>Untersuchungsergebnis</w:t>
            </w:r>
          </w:p>
        </w:tc>
      </w:tr>
      <w:tr>
        <w:tc>
          <w:tcPr>
            <w:tcW w:type="dxa" w:w="4320"/>
          </w:tcPr>
          <w:p>
            <w:r/>
            <w:r>
              <w:rPr>
                <w:rFonts w:ascii="Times New Roman" w:hAnsi="Times New Roman"/>
                <w:sz w:val="20"/>
              </w:rPr>
              <w:t>Wegstrecke mit Rollator</w:t>
            </w:r>
          </w:p>
        </w:tc>
        <w:tc>
          <w:tcPr>
            <w:tcW w:type="dxa" w:w="4320"/>
          </w:tcPr>
          <w:p>
            <w:r/>
            <w:r>
              <w:rPr>
                <w:rFonts w:ascii="Times New Roman" w:hAnsi="Times New Roman"/>
                <w:sz w:val="20"/>
              </w:rPr>
              <w:t>etwa 40 Meter, danach Erschöpfung und Schwindel</w:t>
            </w:r>
          </w:p>
        </w:tc>
      </w:tr>
      <w:tr>
        <w:tc>
          <w:tcPr>
            <w:tcW w:type="dxa" w:w="4320"/>
          </w:tcPr>
          <w:p>
            <w:r/>
            <w:r>
              <w:rPr>
                <w:rFonts w:ascii="Times New Roman" w:hAnsi="Times New Roman"/>
                <w:sz w:val="20"/>
              </w:rPr>
              <w:t>Manueller Rollstuhl Nahbereich</w:t>
            </w:r>
          </w:p>
        </w:tc>
        <w:tc>
          <w:tcPr>
            <w:tcW w:type="dxa" w:w="4320"/>
          </w:tcPr>
          <w:p>
            <w:r/>
            <w:r>
              <w:rPr>
                <w:rFonts w:ascii="Times New Roman" w:hAnsi="Times New Roman"/>
                <w:sz w:val="20"/>
              </w:rPr>
              <w:t>nach etwa 30 Metern deutliche Erschöpfung der Schultermuskulatur</w:t>
            </w:r>
          </w:p>
        </w:tc>
      </w:tr>
      <w:tr>
        <w:tc>
          <w:tcPr>
            <w:tcW w:type="dxa" w:w="4320"/>
          </w:tcPr>
          <w:p>
            <w:r/>
            <w:r>
              <w:rPr>
                <w:rFonts w:ascii="Times New Roman" w:hAnsi="Times New Roman"/>
                <w:sz w:val="20"/>
              </w:rPr>
              <w:t>Sicherheit Standard-Faltrollstuhl ohne Begleitung</w:t>
            </w:r>
          </w:p>
        </w:tc>
        <w:tc>
          <w:tcPr>
            <w:tcW w:type="dxa" w:w="4320"/>
          </w:tcPr>
          <w:p>
            <w:r/>
            <w:r>
              <w:rPr>
                <w:rFonts w:ascii="Times New Roman" w:hAnsi="Times New Roman"/>
                <w:sz w:val="20"/>
              </w:rPr>
              <w:t>nicht ausreichend wegen Sturz- und Unterzuckerungsrisiko bei fehlender Aufsicht</w:t>
            </w:r>
          </w:p>
        </w:tc>
      </w:tr>
      <w:tr>
        <w:tc>
          <w:tcPr>
            <w:tcW w:type="dxa" w:w="4320"/>
          </w:tcPr>
          <w:p>
            <w:r/>
            <w:r>
              <w:rPr>
                <w:rFonts w:ascii="Times New Roman" w:hAnsi="Times New Roman"/>
                <w:sz w:val="20"/>
              </w:rPr>
              <w:t>Fahrsicherheit Elektrorollstuhl gedrosselt</w:t>
            </w:r>
          </w:p>
        </w:tc>
        <w:tc>
          <w:tcPr>
            <w:tcW w:type="dxa" w:w="4320"/>
          </w:tcPr>
          <w:p>
            <w:r/>
            <w:r>
              <w:rPr>
                <w:rFonts w:ascii="Times New Roman" w:hAnsi="Times New Roman"/>
                <w:sz w:val="20"/>
              </w:rPr>
              <w:t>im Fahrversuch unauffällig, sicheres Bedienverhalten</w:t>
            </w:r>
          </w:p>
        </w:tc>
      </w:tr>
      <w:tr>
        <w:tc>
          <w:tcPr>
            <w:tcW w:type="dxa" w:w="4320"/>
          </w:tcPr>
          <w:p>
            <w:r/>
            <w:r>
              <w:rPr>
                <w:rFonts w:ascii="Times New Roman" w:hAnsi="Times New Roman"/>
                <w:sz w:val="20"/>
              </w:rPr>
              <w:t>Teilhabe-Auswirkung</w:t>
            </w:r>
          </w:p>
        </w:tc>
        <w:tc>
          <w:tcPr>
            <w:tcW w:type="dxa" w:w="4320"/>
          </w:tcPr>
          <w:p>
            <w:r/>
            <w:r>
              <w:rPr>
                <w:rFonts w:ascii="Times New Roman" w:hAnsi="Times New Roman"/>
                <w:sz w:val="20"/>
              </w:rPr>
              <w:t>Elektrorollstuhl würde selbständige Wege im Nahbereich ermöglichen, die derzeit nicht zurückgelegt werden können</w:t>
            </w:r>
          </w:p>
        </w:tc>
      </w:tr>
    </w:tbl>
    <w:p/>
    <w:p>
      <w:pPr>
        <w:pStyle w:val="Heading2"/>
      </w:pPr>
      <w:r>
        <w:t>4. Zusammenfassende Beurteilung</w:t>
      </w:r>
    </w:p>
    <w:p>
      <w:r>
        <w:rPr>
          <w:rFonts w:ascii="Times New Roman" w:hAnsi="Times New Roman"/>
          <w:b w:val="0"/>
          <w:i w:val="0"/>
          <w:sz w:val="22"/>
        </w:rPr>
        <w:t>Die vorhandenen Hilfsmittel Rollator und Standard-Faltrollstuhl ermöglichen dem Kläger nach den erhobenen Befunden keine sichere und ausdauernde Fortbewegung im Nahbereich der Wohnung. Die im Fahrversuch festgestellte sichere Bedienung eines gedrosselten Elektrorollstuhls spricht aus gutachterlicher Sicht für die grundsätzliche Eignung dieses Hilfsmittels.</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Gerichtliches Sachverständigengutachten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Gerichtliches Sachverständigengutachten</w:t>
    </w:r>
  </w:p>
  <w:p>
    <w:pPr>
      <w:jc w:val="left"/>
      <w:pBdr>
        <w:bottom w:val="single" w:sz="6" w:space="2" w:color="3B3F45"/>
      </w:pBdr>
    </w:pPr>
    <w:r>
      <w:rPr>
        <w:rFonts w:ascii="Times New Roman" w:hAnsi="Times New Roman"/>
        <w:color w:val="6B6B66"/>
        <w:sz w:val="16"/>
      </w:rPr>
      <w:t>Gericht · Aktenzeichen S 12 KR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