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Eigenantrag auf Eroeffnung des Insolvenzverfahrens — Silberweiher Beteiligungs GmbH</w:t>
      </w:r>
    </w:p>
    <w:p>
      <w:r>
        <w:t>Amtsgericht Duesseldorf — Insolvenzgericht</w:t>
      </w:r>
    </w:p>
    <w:p>
      <w:r>
        <w:t>Antragstellerin: Silberweiher Beteiligungs GmbH, Grafenberger Allee 214, 40237 Duesseldorf</w:t>
      </w:r>
    </w:p>
    <w:p>
      <w:r>
        <w:t>vertreten durch den Geschaeftsfuehrer Dr. Cornelius Wefing</w:t>
      </w:r>
    </w:p>
    <w:p>
      <w:pPr>
        <w:pStyle w:val="Heading2"/>
      </w:pPr>
      <w:r>
        <w:t>Antrag</w:t>
      </w:r>
    </w:p>
    <w:p>
      <w:r>
        <w:t>Namens und im Auftrag der Schuldnerin wird beantragt, ueber das Vermoegen der Silberweiher Beteiligungs GmbH das Insolvenzverfahren zu eroeffnen.</w:t>
      </w:r>
    </w:p>
    <w:p>
      <w:pPr>
        <w:pStyle w:val="Heading2"/>
      </w:pPr>
      <w:r>
        <w:t>Begruendung</w:t>
      </w:r>
    </w:p>
    <w:p>
      <w:r>
        <w:t>Nachdem der Bundesgerichtshof mit Beschluss vom 23.04.2026 (IX ZB 18/25) die Rechtsbeschwerde gegen die Aufhebung der Restrukturierungssache 603 RES 6/24 zurueckgewiesen hat, ist die bereits am 06.12.2024 angezeigte Zahlungsunfaehigkeit nicht mehr abwendbar. Die Rheinboden Kreditbank AG hat die Zwangsvollstreckung aus der faelliggestellten Buergschaftsforderung ueber 610.054,00 EUR wiederaufgenommen; liquide Mittel zur Befriedigung stehen nicht zur Verfuegung.</w:t>
      </w:r>
    </w:p>
    <w:p>
      <w:pPr>
        <w:pStyle w:val="Heading2"/>
      </w:pPr>
      <w:r>
        <w:t>Vermoegensuebersicht</w:t>
      </w:r>
    </w:p>
    <w:p>
      <w:pPr>
        <w:pStyle w:val="ListBullet"/>
      </w:pPr>
      <w:r>
        <w:t>Aktiva: Beteiligungen an zwei insolventen Tochtergesellschaften (Buchwert 0,00 EUR), Kassenbestand 4.180,00 EUR</w:t>
      </w:r>
    </w:p>
    <w:p>
      <w:pPr>
        <w:pStyle w:val="ListBullet"/>
      </w:pPr>
      <w:r>
        <w:t>Passiva: Rheinboden Kreditbank AG 610.054,00 EUR, Fedder &amp; Sohst 1.897,00 EUR, Verfahrenskosten BGH 8.940,17 EUR, sonstige Verbindlichkeiten rund 12.300,00 EUR</w:t>
      </w:r>
    </w:p>
    <w:p>
      <w:r>
        <w:t>Es wird angeregt, Rechtsanwalt Dr. Markus Ovelgoenne, Duesseldorf, zum vorlaeufigen Insolvenzverwalter zu bestellen.</w:t>
      </w:r>
    </w:p>
    <w:p/>
    <w:p>
      <w:r>
        <w:t>Dr. Cornelius Wefing, Geschaeftsfuehrer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Quirrenbach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QUIRRENBACH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