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Netzanschlussvertrag – 50Hertz Transmission GmbH ./. LausitzStorage 200</w:t>
      </w:r>
    </w:p>
    <w:p>
      <w:pPr>
        <w:jc w:val="left"/>
      </w:pPr>
      <w:r>
        <w:rPr>
          <w:b/>
        </w:rPr>
        <w:t>Datum:</w:t>
      </w:r>
      <w:r>
        <w:t xml:space="preserve"> 28.08.2025</w:t>
      </w:r>
    </w:p>
    <w:p>
      <w:pPr>
        <w:jc w:val="left"/>
      </w:pPr>
      <w:r>
        <w:rPr>
          <w:b/>
        </w:rPr>
        <w:t>Anschlusspunkt:</w:t>
      </w:r>
      <w:r>
        <w:t xml:space="preserve"> 380-kV-Umspannwerk Jänschwalde West, Schaltfeld 17</w:t>
      </w:r>
    </w:p>
    <w:p>
      <w:pPr>
        <w:jc w:val="left"/>
      </w:pPr>
      <w:r>
        <w:rPr>
          <w:b/>
        </w:rPr>
        <w:t>Anschlussleistung:</w:t>
      </w:r>
      <w:r>
        <w:t xml:space="preserve"> 220 MW (gewährt: 200 MW + 10 % Reserve)</w:t>
      </w:r>
    </w:p>
    <w:p>
      <w:pPr>
        <w:jc w:val="left"/>
      </w:pPr>
      <w:r>
        <w:rPr>
          <w:b/>
        </w:rPr>
        <w:t>Form:</w:t>
      </w:r>
      <w:r>
        <w:t xml:space="preserve"> privatschriftlich (50Hertz-Standardvertrag, Stand 2024)</w:t>
      </w:r>
    </w:p>
    <w:p>
      <w:pPr>
        <w:pStyle w:val="Heading2"/>
      </w:pPr>
      <w:r>
        <w:rPr>
          <w:rFonts w:ascii="Times New Roman" w:hAnsi="Times New Roman"/>
        </w:rPr>
        <w:t>Wesentliche Klauseln</w:t>
      </w:r>
    </w:p>
    <w:p>
      <w:pPr>
        <w:pStyle w:val="ListBullet"/>
      </w:pPr>
      <w:r>
        <w:t xml:space="preserve">§ 4: Anschlussfertigstellung durch 50Hertz spätestens </w:t>
      </w:r>
      <w:r>
        <w:rPr>
          <w:b/>
        </w:rPr>
        <w:t>30.09.2027</w:t>
      </w:r>
      <w:r>
        <w:t>, sofern Anlagenbetreiber Meilensteine einhält</w:t>
      </w:r>
    </w:p>
    <w:p>
      <w:pPr>
        <w:pStyle w:val="ListBullet"/>
      </w:pPr>
      <w:r>
        <w:t xml:space="preserve">§ 7: </w:t>
      </w:r>
      <w:r>
        <w:rPr>
          <w:b/>
        </w:rPr>
        <w:t>Sicherheitsleistung 4,4 Mio EUR</w:t>
      </w:r>
      <w:r>
        <w:t xml:space="preserve"> (2 % der Anschlusskosten = 220 Mio EUR Schätzung 50Hertz) in Form einer </w:t>
      </w:r>
      <w:r>
        <w:rPr>
          <w:b/>
        </w:rPr>
        <w:t>Bürgschaft auf erstes Anfordern</w:t>
      </w:r>
      <w:r>
        <w:t xml:space="preserve"> durch deutsche Großbank oder Landesbank</w:t>
      </w:r>
    </w:p>
    <w:p>
      <w:pPr>
        <w:pStyle w:val="ListBullet"/>
      </w:pPr>
      <w:r>
        <w:t xml:space="preserve">§ 9: Anschlussbetreibervergütung gemäß </w:t>
      </w:r>
      <w:r>
        <w:rPr>
          <w:b/>
        </w:rPr>
        <w:t>§ 17a EnWG</w:t>
      </w:r>
    </w:p>
    <w:p>
      <w:pPr>
        <w:pStyle w:val="ListBullet"/>
      </w:pPr>
      <w:r>
        <w:t>§ 12: Vertragsstrafe bei Nichteinhaltung der Anlagenmeilensteine – gestaffelt bis zu 1,8 Mio EUR</w:t>
      </w:r>
    </w:p>
    <w:p>
      <w:pPr>
        <w:pStyle w:val="Heading2"/>
      </w:pPr>
      <w:r>
        <w:rPr>
          <w:rFonts w:ascii="Times New Roman" w:hAnsi="Times New Roman"/>
        </w:rPr>
        <w:t>Sicherheitsleistung – Status</w:t>
      </w:r>
    </w:p>
    <w:p>
      <w:pPr>
        <w:jc w:val="left"/>
      </w:pPr>
      <w:r>
        <w:t>Konzept: Avalrahmen ILB (Investitionsbank Brandenburg) → Einzelaval an 50Hertz.</w:t>
      </w:r>
    </w:p>
    <w:p>
      <w:pPr>
        <w:pStyle w:val="ListBullet"/>
      </w:pPr>
      <w:r>
        <w:t xml:space="preserve">Avalrahmenvertrag </w:t>
      </w:r>
      <w:r>
        <w:rPr>
          <w:b/>
        </w:rPr>
        <w:t>liegt vor</w:t>
      </w:r>
      <w:r>
        <w:t xml:space="preserve"> (Akte 12)</w:t>
      </w:r>
    </w:p>
    <w:p>
      <w:pPr>
        <w:pStyle w:val="ListBullet"/>
      </w:pPr>
      <w:r>
        <w:t xml:space="preserve">Einzelaval zugunsten 50Hertz </w:t>
      </w:r>
      <w:r>
        <w:rPr>
          <w:b/>
        </w:rPr>
        <w:t>fehlt noch</w:t>
      </w:r>
      <w:r>
        <w:t xml:space="preserve"> (zu beauftragen)</w:t>
      </w:r>
    </w:p>
    <w:p>
      <w:pPr>
        <w:pStyle w:val="ListBullet"/>
      </w:pPr>
      <w:r>
        <w:t xml:space="preserve">50Hertz hat </w:t>
      </w:r>
      <w:r>
        <w:rPr>
          <w:b/>
        </w:rPr>
        <w:t>30.06.2026</w:t>
      </w:r>
      <w:r>
        <w:t xml:space="preserve"> als Frist gesetzt – kritisch.</w:t>
      </w:r>
    </w:p>
    <w:p>
      <w:pPr>
        <w:pStyle w:val="Heading2"/>
      </w:pPr>
      <w:r>
        <w:rPr>
          <w:rFonts w:ascii="Times New Roman" w:hAnsi="Times New Roman"/>
        </w:rPr>
        <w:t>Unterzeichnung</w:t>
      </w:r>
    </w:p>
    <w:p>
      <w:pPr>
        <w:pStyle w:val="ListBullet"/>
      </w:pPr>
      <w:r>
        <w:t>50Hertz: zwei Prokuristen ppa. (Standard-Vorgehen)</w:t>
      </w:r>
    </w:p>
    <w:p>
      <w:pPr>
        <w:pStyle w:val="ListBullet"/>
      </w:pPr>
      <w:r>
        <w:t>LausitzStorage: Bauernfeind</w:t>
      </w:r>
    </w:p>
    <w:p>
      <w:pPr>
        <w:pStyle w:val="Heading2"/>
      </w:pPr>
      <w:r>
        <w:rPr>
          <w:rFonts w:ascii="Times New Roman" w:hAnsi="Times New Roman"/>
        </w:rPr>
        <w:t>Aktenlage</w:t>
      </w:r>
    </w:p>
    <w:p>
      <w:pPr>
        <w:jc w:val="left"/>
      </w:pPr>
      <w:r>
        <w:t>Original gescannt im DATEV-Archiv; physisch bei LausitzStorage Geschäftsstelle Peitz.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Hertz Transmission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Hertz Transmission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