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Senior-Darlehensvertrag – NordCap Infrastructure Fund SCS ./. LausitzStorage 200</w:t>
      </w:r>
    </w:p>
    <w:p>
      <w:pPr>
        <w:jc w:val="left"/>
      </w:pPr>
      <w:r>
        <w:rPr>
          <w:b/>
        </w:rPr>
        <w:t>Datum:</w:t>
      </w:r>
      <w:r>
        <w:t xml:space="preserve"> 04.09.2025</w:t>
      </w:r>
    </w:p>
    <w:p>
      <w:pPr>
        <w:jc w:val="left"/>
      </w:pPr>
      <w:r>
        <w:rPr>
          <w:b/>
        </w:rPr>
        <w:t>Darlehensgeberin:</w:t>
      </w:r>
      <w:r>
        <w:t xml:space="preserve"> NordCap Infrastructure Fund SCS, 25 Avenue de la Liberté, L-1931 Luxembourg</w:t>
      </w:r>
    </w:p>
    <w:p>
      <w:pPr>
        <w:jc w:val="left"/>
      </w:pPr>
      <w:r>
        <w:rPr>
          <w:b/>
        </w:rPr>
        <w:t>Darlehensnehmerin:</w:t>
      </w:r>
      <w:r>
        <w:t xml:space="preserve"> LausitzStorage 200 GmbH i.G.</w:t>
      </w:r>
    </w:p>
    <w:p>
      <w:pPr>
        <w:jc w:val="left"/>
      </w:pPr>
      <w:r>
        <w:rPr>
          <w:b/>
        </w:rPr>
        <w:t>Darlehenssumme:</w:t>
      </w:r>
      <w:r>
        <w:t xml:space="preserve"> 96 Mio EUR, ausgereicht in 4 Tranchen (24 Mio + 38 Mio + 22 Mio + 12 Mio)</w:t>
      </w:r>
    </w:p>
    <w:p>
      <w:pPr>
        <w:jc w:val="left"/>
      </w:pPr>
      <w:r>
        <w:rPr>
          <w:b/>
        </w:rPr>
        <w:t>Zinssatz:</w:t>
      </w:r>
      <w:r>
        <w:t xml:space="preserve"> EURIBOR 6M + 425 BP, Floor 0,5 %</w:t>
      </w:r>
    </w:p>
    <w:p>
      <w:pPr>
        <w:jc w:val="left"/>
      </w:pPr>
      <w:r>
        <w:rPr>
          <w:b/>
        </w:rPr>
        <w:t>Laufzeit:</w:t>
      </w:r>
      <w:r>
        <w:t xml:space="preserve"> 12 Jahre nach Inbetriebnahme</w:t>
      </w:r>
    </w:p>
    <w:p>
      <w:pPr>
        <w:pStyle w:val="Heading2"/>
      </w:pPr>
      <w:r>
        <w:rPr>
          <w:rFonts w:ascii="Times New Roman" w:hAnsi="Times New Roman"/>
        </w:rPr>
        <w:t>Auszahlungsbedingungen (Conditions Precedent, „CPs")</w:t>
      </w:r>
    </w:p>
    <w:p>
      <w:pPr>
        <w:jc w:val="left"/>
      </w:pPr>
      <w:r>
        <w:t xml:space="preserve">Pro Tranche eigene CP-Liste. Für die </w:t>
      </w:r>
      <w:r>
        <w:rPr>
          <w:b/>
        </w:rPr>
        <w:t>2. Tranche (38 Mio EUR)</w:t>
      </w:r>
      <w:r>
        <w:t xml:space="preserve"> sind erfüllt vorzulegen (Stand-Klauseln in § 6 Abs. 2):</w:t>
      </w:r>
    </w:p>
    <w:p>
      <w:pPr>
        <w:pStyle w:val="ListNumber"/>
      </w:pPr>
      <w:r>
        <w:t>✅ Notariell beurkundeter Pachtvertrag LEAG</w:t>
      </w:r>
    </w:p>
    <w:p>
      <w:pPr>
        <w:pStyle w:val="ListNumber"/>
      </w:pPr>
      <w:r>
        <w:t>✅ Netzanschlussvertrag 50Hertz mit Anschlussfertigstellungstermin</w:t>
      </w:r>
    </w:p>
    <w:p>
      <w:pPr>
        <w:pStyle w:val="ListNumber"/>
      </w:pPr>
      <w:r>
        <w:t>✅ BImSchG-Vorbescheid (liegt vor – Akte 07)</w:t>
      </w:r>
    </w:p>
    <w:p>
      <w:pPr>
        <w:pStyle w:val="ListNumber"/>
      </w:pPr>
      <w:r>
        <w:t xml:space="preserve">❓ </w:t>
      </w:r>
      <w:r>
        <w:rPr>
          <w:b/>
        </w:rPr>
        <w:t>Konsortialvertrag mit Stadtwerke Cottbus</w:t>
      </w:r>
      <w:r>
        <w:t xml:space="preserve"> (liegt vor, aber siehe Akte 11)</w:t>
      </w:r>
    </w:p>
    <w:p>
      <w:pPr>
        <w:pStyle w:val="ListNumber"/>
      </w:pPr>
      <w:r>
        <w:t xml:space="preserve">❓ </w:t>
      </w:r>
      <w:r>
        <w:rPr>
          <w:b/>
        </w:rPr>
        <w:t>Avalrahmenbestätigung ILB</w:t>
      </w:r>
      <w:r>
        <w:t xml:space="preserve"> (liegt vor – Akte 12)</w:t>
      </w:r>
    </w:p>
    <w:p>
      <w:pPr>
        <w:pStyle w:val="ListNumber"/>
      </w:pPr>
      <w:r>
        <w:t xml:space="preserve">❓ </w:t>
      </w:r>
      <w:r>
        <w:rPr>
          <w:b/>
        </w:rPr>
        <w:t>Einzelaval 50Hertz</w:t>
      </w:r>
      <w:r>
        <w:t xml:space="preserve"> in Höhe 4,4 Mio EUR (fehlt noch – Akte 14)</w:t>
      </w:r>
    </w:p>
    <w:p>
      <w:pPr>
        <w:pStyle w:val="ListNumber"/>
      </w:pPr>
      <w:r>
        <w:t xml:space="preserve">❓ </w:t>
      </w:r>
      <w:r>
        <w:rPr>
          <w:b/>
        </w:rPr>
        <w:t>Gesellschafterbeschluss „Mittelverwendung Tranche 2"</w:t>
      </w:r>
      <w:r>
        <w:t xml:space="preserve"> vom 14.10.2025 (siehe Akte 09 – existiert in zwei Versionen!)</w:t>
      </w:r>
    </w:p>
    <w:p>
      <w:pPr>
        <w:pStyle w:val="Heading2"/>
      </w:pPr>
      <w:r>
        <w:rPr>
          <w:rFonts w:ascii="Times New Roman" w:hAnsi="Times New Roman"/>
        </w:rPr>
        <w:t>Material Adverse Change-Klausel (§ 7 Abs. 4)</w:t>
      </w:r>
    </w:p>
    <w:p>
      <w:pPr>
        <w:ind w:left="567"/>
      </w:pPr>
      <w:r>
        <w:rPr>
          <w:i/>
        </w:rPr>
        <w:t>„Eine wesentliche nachteilige Veränderung (Material Adverse Change, MAC) liegt insbesondere vor, wenn ... ein wesentlicher Vertrag mit einem Kerndienstleister (LEAG, 50Hertz, EPC-Kontraktor) gekündigt wird, in seiner Geltung in Frage steht oder erheblich nachverhandelt wird."</w:t>
      </w:r>
    </w:p>
    <w:p>
      <w:pPr>
        <w:jc w:val="left"/>
      </w:pPr>
      <w:r>
        <w:t>NordCap stützt den Drawstop auf:</w:t>
      </w:r>
    </w:p>
    <w:p>
      <w:pPr>
        <w:pStyle w:val="ListBullet"/>
      </w:pPr>
      <w:r>
        <w:t>LEAG-Kündigungsdrohung</w:t>
      </w:r>
    </w:p>
    <w:p>
      <w:pPr>
        <w:pStyle w:val="ListBullet"/>
      </w:pPr>
      <w:r>
        <w:t>BImSchG-Hauptantrag noch nicht gestellt</w:t>
      </w:r>
    </w:p>
    <w:p>
      <w:pPr>
        <w:pStyle w:val="ListBullet"/>
      </w:pPr>
      <w:r>
        <w:t>Unklarheit Konsortialvertrag</w:t>
      </w:r>
    </w:p>
    <w:p>
      <w:pPr>
        <w:pStyle w:val="Heading2"/>
      </w:pPr>
      <w:r>
        <w:rPr>
          <w:rFonts w:ascii="Times New Roman" w:hAnsi="Times New Roman"/>
        </w:rPr>
        <w:t>Unterzeichnung</w:t>
      </w:r>
    </w:p>
    <w:p>
      <w:pPr>
        <w:pStyle w:val="ListBullet"/>
      </w:pPr>
      <w:r>
        <w:t>NordCap: Pierre Le Bouëdec (Director) + Marisa Kraft (Authorized Signatory)</w:t>
      </w:r>
    </w:p>
    <w:p>
      <w:pPr>
        <w:pStyle w:val="ListBullet"/>
      </w:pPr>
      <w:r>
        <w:t>LausitzStorage: Bauernfeind</w:t>
      </w:r>
    </w:p>
    <w:p>
      <w:pPr>
        <w:pStyle w:val="Heading2"/>
      </w:pPr>
      <w:r>
        <w:rPr>
          <w:rFonts w:ascii="Times New Roman" w:hAnsi="Times New Roman"/>
        </w:rPr>
        <w:t>Aktenlage</w:t>
      </w:r>
    </w:p>
    <w:p>
      <w:pPr>
        <w:jc w:val="left"/>
      </w:pPr>
      <w:r>
        <w:t xml:space="preserve">Original LausitzStorage; gescannt bei NordCap Loan Documentation Team. Sprachfassung Englisch + deutsche Übersetzung, im Streitfall </w:t>
      </w:r>
      <w:r>
        <w:rPr>
          <w:b/>
        </w:rPr>
        <w:t>deutscher Wortlaut maßgeblich</w:t>
      </w:r>
      <w:r>
        <w:t xml:space="preserve"> (§ 24 Abs. 4 Vertrag).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LausitzStorage 200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4"/>
      </w:rPr>
      <w:t>LausitzStorage 200 GmbH</w:t>
    </w:r>
  </w:p>
  <w:p>
    <w:pPr>
      <w:jc w:val="left"/>
      <w:pBdr>
        <w:bottom w:val="single" w:sz="6" w:space="2" w:color="1F3864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