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Cap Table – Version A (Steuerberater Hentschel, Stand 31.12.2025)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Gesellschafter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Stammkapital (EUR)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Anteil (%)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Karlheinz Bauernfeind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39.780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51,00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Petra Lindenthal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7.020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9,00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NordCap Infrastructure Fund SCS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23.400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30,00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Stadtwerke Cottbus Beteiligungs-GmbH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7.800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10,00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Summe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78.000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100,00</w:t>
            </w:r>
          </w:p>
        </w:tc>
      </w:tr>
    </w:tbl>
    <w:p>
      <w:pPr>
        <w:jc w:val="left"/>
      </w:pPr>
      <w:r>
        <w:t>Quelle: DATEV-Auswertung Hentschel &amp; Krause Steuerberatungsgesellschaft mbH, Cottbus.</w:t>
      </w:r>
    </w:p>
    <w:p>
      <w:pPr>
        <w:jc w:val="left"/>
      </w:pPr>
      <w:r>
        <w:t>Berücksichtigt: Gründung 25.000 EUR + Kapitalerhöhung Akte 10 (17.10.2025) auf 78.000 EUR.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Steuerberater Hentschel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F3864"/>
        <w:sz w:val="22"/>
      </w:rPr>
      <w:t>STEUERBERATER HENTSCHEL</w:t>
    </w:r>
  </w:p>
  <w:p>
    <w:pPr>
      <w:jc w:val="left"/>
      <w:pBdr>
        <w:bottom w:val="single" w:sz="8" w:space="2" w:color="1F3864"/>
      </w:pBdr>
    </w:pPr>
    <w:r>
      <w:rPr>
        <w:rFonts w:ascii="Times New Roman" w:hAnsi="Times New Roman"/>
        <w:color w:val="6B6B66"/>
        <w:sz w:val="16"/>
      </w:rPr>
      <w:t>Stand 31.12.2025)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