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Handelsregister-Auszuege fuer die Unterschriftspruefung</w:t>
      </w:r>
    </w:p>
    <w:p>
      <w:pPr>
        <w:jc w:val="left"/>
      </w:pPr>
      <w:r>
        <w:rPr>
          <w:b/>
        </w:rPr>
        <w:t>Beigezogen:</w:t>
      </w:r>
      <w:r>
        <w:t xml:space="preserve"> RAin Hesselmann-Sauerbruch, 02.06.2026</w:t>
      </w:r>
    </w:p>
    <w:p>
      <w:pPr>
        <w:jc w:val="left"/>
      </w:pPr>
      <w:r>
        <w:rPr>
          <w:b/>
        </w:rPr>
        <w:t>Quelle:</w:t>
      </w:r>
      <w:r>
        <w:t xml:space="preserve"> www.handelsregister.de, Stand 02.06.2026, 11:18 Uhr (zwei kostenpflichtige Einzelauszuege je 4,50 EUR, RVG-relevant)</w:t>
      </w:r>
    </w:p>
    <w:p>
      <w:pPr>
        <w:pStyle w:val="Heading2"/>
      </w:pPr>
      <w:r>
        <w:rPr>
          <w:rFonts w:ascii="Times New Roman" w:hAnsi="Times New Roman"/>
        </w:rPr>
        <w:t>LausitzStorage 200 GmbH i.G., Sitz Cottbus</w:t>
      </w:r>
    </w:p>
    <w:p>
      <w:pPr>
        <w:ind w:left="567"/>
      </w:pPr>
      <w:r>
        <w:rPr>
          <w:i/>
        </w:rPr>
        <w:t xml:space="preserve">Hinweis: GmbH </w:t>
      </w:r>
      <w:r>
        <w:rPr>
          <w:b/>
          <w:i/>
        </w:rPr>
        <w:t>in Gruendung</w:t>
      </w:r>
      <w:r>
        <w:rPr>
          <w:i/>
        </w:rPr>
        <w:t xml:space="preserve"> (Notarurkunde vom 14.07.2025, UR 211/2025 Notar Dr. Albers, Berlin) — Eintragung in das Handelsregister beim AG Cottbus noch ausstehend; Az HRB 14882. Im Gruendungsstadium handeln die GF als Vor-GmbH-Vertreter mit den Beschraenkungen aus der Gruendungssatzung.</w:t>
      </w:r>
    </w:p>
    <w:p>
      <w:pPr>
        <w:jc w:val="left"/>
      </w:pPr>
      <w:r>
        <w:rPr>
          <w:b/>
        </w:rPr>
        <w:t>Geschaeftsfuehrer:</w:t>
      </w:r>
    </w:p>
    <w:p>
      <w:pPr>
        <w:pStyle w:val="ListBullet"/>
      </w:pPr>
      <w:r>
        <w:t>Dipl.-Ing. Karlheinz Bauernfeind (CEO, Einzelvertretungsberechtigt nach Satzungs-§ 6 Abs. 2)</w:t>
      </w:r>
    </w:p>
    <w:p>
      <w:pPr>
        <w:pStyle w:val="ListBullet"/>
      </w:pPr>
      <w:r>
        <w:t xml:space="preserve">Petra Lindenthal (CFO, </w:t>
      </w:r>
      <w:r>
        <w:rPr>
          <w:b/>
        </w:rPr>
        <w:t>gesamtvertretungsberechtigt nur mit weiterem GF oder Prokurist</w:t>
      </w:r>
      <w:r>
        <w:t>)</w:t>
      </w:r>
    </w:p>
    <w:p>
      <w:pPr>
        <w:jc w:val="left"/>
      </w:pPr>
      <w:r>
        <w:rPr>
          <w:b/>
        </w:rPr>
        <w:t>Prokuristen:</w:t>
      </w:r>
      <w:r>
        <w:t xml:space="preserve"> keine eingetragenen.</w:t>
      </w:r>
    </w:p>
    <w:p>
      <w:pPr>
        <w:jc w:val="left"/>
      </w:pPr>
      <w:r>
        <w:rPr>
          <w:b/>
        </w:rPr>
        <w:t>Konsequenz fuer die Akte:</w:t>
      </w:r>
      <w:r>
        <w:t xml:space="preserve"> Vertrage mit reiner Lindenthal-Unterschrift (ohne Bauernfeind oder Prokurist) sind </w:t>
      </w:r>
      <w:r>
        <w:rPr>
          <w:b/>
        </w:rPr>
        <w:t>schwebend unwirksam nach § 177 BGB analog</w:t>
      </w:r>
      <w:r>
        <w:t xml:space="preserve"> bis zur Genehmigung durch das vollstaendig vertretungsberechtigte Organ.</w:t>
      </w:r>
    </w:p>
    <w:p>
      <w:pPr>
        <w:pStyle w:val="Heading2"/>
      </w:pPr>
      <w:r>
        <w:rPr>
          <w:rFonts w:ascii="Times New Roman" w:hAnsi="Times New Roman"/>
        </w:rPr>
        <w:t>LEAG Immobilien GmbH, Sitz Cottbus</w:t>
      </w:r>
    </w:p>
    <w:p>
      <w:pPr>
        <w:jc w:val="left"/>
      </w:pPr>
      <w:r>
        <w:rPr>
          <w:b/>
        </w:rPr>
        <w:t>Az HRB:</w:t>
      </w:r>
      <w:r>
        <w:t xml:space="preserve"> HRB 11842 Cottbus</w:t>
      </w:r>
    </w:p>
    <w:p>
      <w:pPr>
        <w:jc w:val="left"/>
      </w:pPr>
      <w:r>
        <w:rPr>
          <w:b/>
        </w:rPr>
        <w:t>Eingetragene Geschaeftsfuehrer (Stand 02.06.2026):</w:t>
      </w:r>
    </w:p>
    <w:p>
      <w:pPr>
        <w:pStyle w:val="ListBullet"/>
      </w:pPr>
      <w:r>
        <w:t>Manfred Vansel (Einzelvertretung mit Prokurist oder weiterem GF)</w:t>
      </w:r>
    </w:p>
    <w:p>
      <w:pPr>
        <w:pStyle w:val="ListBullet"/>
      </w:pPr>
      <w:r>
        <w:t>Sabine Kunzendorf (Einzelvertretung mit Prokurist oder weiterem GF)</w:t>
      </w:r>
    </w:p>
    <w:p>
      <w:pPr>
        <w:jc w:val="left"/>
      </w:pPr>
      <w:r>
        <w:rPr>
          <w:b/>
        </w:rPr>
        <w:t>Eingetragene Prokuristen (Gesamtprokura, jeweils mit GF):</w:t>
      </w:r>
    </w:p>
    <w:p>
      <w:pPr>
        <w:pStyle w:val="ListBullet"/>
      </w:pPr>
      <w:r>
        <w:t>Cathrin Kosturek (eingetragen seit 04.11.2024)</w:t>
      </w:r>
    </w:p>
    <w:p>
      <w:pPr>
        <w:pStyle w:val="ListBullet"/>
      </w:pPr>
      <w:r>
        <w:t>Robert Hellwege (eingetragen seit 04.11.2024)</w:t>
      </w:r>
    </w:p>
    <w:p>
      <w:pPr>
        <w:jc w:val="left"/>
      </w:pPr>
      <w:r>
        <w:rPr>
          <w:b/>
        </w:rPr>
        <w:t>Konsequenz fuer die Akte:</w:t>
      </w:r>
    </w:p>
    <w:p>
      <w:pPr>
        <w:pStyle w:val="ListBullet"/>
      </w:pPr>
      <w:r>
        <w:t xml:space="preserve">1. Nachtrag Pacht (Akte 04) ist allein von Kosturek unterzeichnet — laut HR-Eintragung hat Kosturek </w:t>
      </w:r>
      <w:r>
        <w:rPr>
          <w:b/>
        </w:rPr>
        <w:t>nur Gesamtprokura mit einem GF</w:t>
      </w:r>
      <w:r>
        <w:t xml:space="preserve">. Damit </w:t>
      </w:r>
      <w:r>
        <w:rPr>
          <w:b/>
        </w:rPr>
        <w:t>fehlt die GF-Unterschrift</w:t>
      </w:r>
      <w:r>
        <w:t>. Folge: § 177 BGB analog, schwebende Unwirksamkeit, Genehmigung erforderlich.</w:t>
      </w:r>
    </w:p>
    <w:p>
      <w:pPr>
        <w:pStyle w:val="ListBullet"/>
      </w:pPr>
      <w:r>
        <w:t xml:space="preserve">2. Nachtrag Pacht (Akte 05) ist allein von GF Vansel unterzeichnet — Vansel ist GF, aber nur in </w:t>
      </w:r>
      <w:r>
        <w:rPr>
          <w:b/>
        </w:rPr>
        <w:t>Gesamtvertretung mit Prokurist oder weiterem GF</w:t>
      </w:r>
      <w:r>
        <w:t>. Damit ebenfalls schwebend unwirksam.</w:t>
      </w:r>
    </w:p>
    <w:p>
      <w:pPr>
        <w:pStyle w:val="Heading2"/>
      </w:pPr>
      <w:r>
        <w:rPr>
          <w:rFonts w:ascii="Times New Roman" w:hAnsi="Times New Roman"/>
        </w:rPr>
        <w:t>Verwendung</w:t>
      </w:r>
    </w:p>
    <w:p>
      <w:pPr>
        <w:pStyle w:val="ListBullet"/>
      </w:pPr>
      <w:r>
        <w:t>Beide HR-Auszuege gehen als Beweismittel in die Schriftsatzakte fuer den ggf. zu fuehrenden Heilungsstreit mit LEAG.</w:t>
      </w:r>
    </w:p>
    <w:p>
      <w:pPr>
        <w:pStyle w:val="ListBullet"/>
      </w:pPr>
      <w:r>
        <w:t>Markierung in Reiter 2 des Step-Plans als "Befund unleserlich" -&gt; Korrektur: "Vertretungsmangel HR-belegt".</w:t>
      </w:r>
    </w:p>
    <w:p>
      <w:pPr>
        <w:pStyle w:val="ListBullet"/>
      </w:pPr>
      <w:r>
        <w:t xml:space="preserve">Querverweis an Skill </w:t>
      </w:r>
      <w:r>
        <w:t>unterschriftspruefung</w:t>
      </w:r>
      <w:r>
        <w:t xml:space="preserve"> und Aktenstueck 20 (Unterschriftspruefung-Befunde).</w:t>
      </w:r>
    </w:p>
    <w:p>
      <w:pPr>
        <w:pStyle w:val="Heading2"/>
      </w:pPr>
      <w:r>
        <w:rPr>
          <w:rFonts w:ascii="Times New Roman" w:hAnsi="Times New Roman"/>
        </w:rPr>
        <w:t>Kosten</w:t>
      </w:r>
    </w:p>
    <w:p>
      <w:pPr>
        <w:jc w:val="left"/>
      </w:pPr>
      <w:r>
        <w:t xml:space="preserve">2 x 4,50 EUR = </w:t>
      </w:r>
      <w:r>
        <w:rPr>
          <w:b/>
        </w:rPr>
        <w:t>9,00 EUR Auslagen</w:t>
      </w:r>
      <w:r>
        <w:t xml:space="preserve"> nach Vorbem. 7 Abs. 1 Nr. 1 RVG-VV; abrechenbar gegenueber Mandantin.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LausitzStorage 200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LausitzStorage 200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Sitz Cottbus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