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RVG-Zwischenrechnung Pohlmann und Pohlmann</w:t>
      </w:r>
    </w:p>
    <w:p>
      <w:pPr>
        <w:jc w:val="left"/>
      </w:pPr>
      <w:r>
        <w:rPr>
          <w:b/>
        </w:rPr>
        <w:t>Kanzleiakte:</w:t>
      </w:r>
      <w:r>
        <w:t xml:space="preserve"> PoPo-2026-WR-0211</w:t>
      </w:r>
    </w:p>
    <w:p>
      <w:pPr>
        <w:jc w:val="left"/>
      </w:pPr>
      <w:r>
        <w:rPr>
          <w:b/>
        </w:rPr>
        <w:t>Mandantin:</w:t>
      </w:r>
      <w:r>
        <w:t xml:space="preserve"> LausitzStorage 200 GmbH i.G., z.Hd. Dipl.-Ing. Karlheinz Bauernfeind, Industriegelaende 22, 03185 Peitz</w:t>
      </w:r>
    </w:p>
    <w:p>
      <w:pPr>
        <w:jc w:val="left"/>
      </w:pPr>
      <w:r>
        <w:rPr>
          <w:b/>
        </w:rPr>
        <w:t>Rechnungsnummer:</w:t>
      </w:r>
      <w:r>
        <w:t xml:space="preserve"> 2026-06-0142</w:t>
      </w:r>
    </w:p>
    <w:p>
      <w:pPr>
        <w:jc w:val="left"/>
      </w:pPr>
      <w:r>
        <w:rPr>
          <w:b/>
        </w:rPr>
        <w:t>Ausgestellt:</w:t>
      </w:r>
      <w:r>
        <w:t xml:space="preserve"> Berlin, 05.06.2026</w:t>
      </w:r>
    </w:p>
    <w:p>
      <w:pPr>
        <w:pStyle w:val="Heading2"/>
      </w:pPr>
      <w:r>
        <w:rPr>
          <w:rFonts w:ascii="Times New Roman" w:hAnsi="Times New Roman"/>
        </w:rPr>
        <w:t>Gegenstand</w:t>
      </w:r>
    </w:p>
    <w:p>
      <w:pPr>
        <w:jc w:val="left"/>
      </w:pPr>
      <w:r>
        <w:t>Aussergerichtliche Vertretung in den Krisensachen Drawstop NordCap (Senior-Darlehensvertrag 04.09.2025) und Kuendigungsdrohung LEAG (Pachtvertrag 14.03.2025), Mandatsbeginn 02.06.2026.</w:t>
      </w:r>
    </w:p>
    <w:p>
      <w:pPr>
        <w:pStyle w:val="Heading2"/>
      </w:pPr>
      <w:r>
        <w:rPr>
          <w:rFonts w:ascii="Times New Roman" w:hAnsi="Times New Roman"/>
        </w:rPr>
        <w:t>Streitwertbestimmung (§ 23 RVG, § 48 GKG)</w:t>
      </w:r>
    </w:p>
    <w:p>
      <w:pPr>
        <w:jc w:val="left"/>
      </w:pPr>
      <w:r>
        <w:t>Bestimmung des Gegenstandswerts fuer die Geschaeftsgebuehr nach § 2 Abs. 1 RVG iVm Anlage 1 zum RVG VV 2300: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Drawstop NordCap, betroffene Tranche 2 (38 Mio EUR), 25 % wirtschaftliches 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9.500.000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Kuendigungsdrohung LEAG, Pachtjahre 2026-2030 (5 x 480.000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Gesamt-Gegenstandswert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11.900.000 EUR</w:t>
            </w:r>
          </w:p>
        </w:tc>
      </w:tr>
    </w:tbl>
    <w:p>
      <w:pPr>
        <w:jc w:val="left"/>
      </w:pPr>
      <w:r>
        <w:t>Anmerkung: Streitwertbestimmung erfolgt vorlaeufig; Endabrechnung nach Mandatsende bei einheitlicher Angelegenheit, § 15 Abs. 2 RVG.</w:t>
      </w:r>
    </w:p>
    <w:p>
      <w:pPr>
        <w:pStyle w:val="Heading2"/>
      </w:pPr>
      <w:r>
        <w:rPr>
          <w:rFonts w:ascii="Times New Roman" w:hAnsi="Times New Roman"/>
        </w:rPr>
        <w:t>Gebuehrenpositionen (RVG VV 2300, 7000, 7008)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Geschaeftsgebuehr nach RVG VV 2300, Streitwert 11.900.000 EUR, Gebuehr 26.527,00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1,3 (Schwellenfaktor wegen Umfang und Schwierigkeit)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34.485,10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Auslagen nach RVG VV 7000 (Kopien, beA-Korrespondenz, Telefon)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pauschal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HR-Auszuege LausitzStorage und LEAG Immobilien (Aktenstueck 27)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tatsaechlich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Postauslagen Pauschale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RVG VV 7002 (20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Zwischensumme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34.864,10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Umsatzsteuer (RVG VV 7008, 19 %)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6.624,18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Gesamtbetrag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41.488,28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Anrechnungsvermerk</w:t>
      </w:r>
    </w:p>
    <w:p>
      <w:pPr>
        <w:jc w:val="left"/>
      </w:pPr>
      <w:r>
        <w:t xml:space="preserve">Falls in derselben Angelegenheit eine spaetere gerichtliche Vertretung mit Verfahrensgebuehr nach VV 3100 erfolgt, wird die Geschaeftsgebuehr nach </w:t>
      </w:r>
      <w:r>
        <w:rPr>
          <w:b/>
        </w:rPr>
        <w:t>Vorbem. 3 Abs. 4 zu Teil 3 RVG VV</w:t>
      </w:r>
      <w:r>
        <w:t xml:space="preserve"> zur Haelfte auf die Verfahrensgebuehr angerechnet (max. 0,75).</w:t>
      </w:r>
    </w:p>
    <w:p>
      <w:pPr>
        <w:pStyle w:val="Heading2"/>
      </w:pPr>
      <w:r>
        <w:rPr>
          <w:rFonts w:ascii="Times New Roman" w:hAnsi="Times New Roman"/>
        </w:rPr>
        <w:t>Zahlungsbedingungen</w:t>
      </w:r>
    </w:p>
    <w:p>
      <w:pPr>
        <w:jc w:val="left"/>
      </w:pPr>
      <w:r>
        <w:t>Faellig 14 Tage nach Rechnungsdatum auf Konto:</w:t>
      </w:r>
    </w:p>
    <w:p>
      <w:pPr>
        <w:jc w:val="left"/>
      </w:pPr>
      <w:r>
        <w:t>```</w:t>
      </w:r>
    </w:p>
    <w:p>
      <w:pPr>
        <w:jc w:val="left"/>
      </w:pPr>
      <w:r>
        <w:t>Pohlmann und Pohlmann RAe PartG mbB</w:t>
      </w:r>
    </w:p>
    <w:p>
      <w:pPr>
        <w:jc w:val="left"/>
      </w:pPr>
      <w:r>
        <w:t>IBAN DE89 1007 0100 0123 4567 89</w:t>
      </w:r>
    </w:p>
    <w:p>
      <w:pPr>
        <w:jc w:val="left"/>
      </w:pPr>
      <w:r>
        <w:t>Commerzbank Berlin</w:t>
      </w:r>
    </w:p>
    <w:p>
      <w:pPr>
        <w:jc w:val="left"/>
      </w:pPr>
      <w:r>
        <w:t>Verwendungszweck: PoPo-2026-WR-0211 / Zwischenrechnung 1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Hinweise</w:t>
      </w:r>
    </w:p>
    <w:p>
      <w:pPr>
        <w:pStyle w:val="ListBullet"/>
      </w:pPr>
      <w:r>
        <w:t>Diese Zwischenrechnung ist eine Abschlagszahlung (§ 9 RVG); endgueltige Abrechnung am Mandatsende.</w:t>
      </w:r>
    </w:p>
    <w:p>
      <w:pPr>
        <w:pStyle w:val="ListBullet"/>
      </w:pPr>
      <w:r>
        <w:rPr>
          <w:b/>
        </w:rPr>
        <w:t>Hinweis nach § 49b Abs. 5 BRAO:</w:t>
      </w:r>
      <w:r>
        <w:t xml:space="preserve"> Die Hoehe der Gebuehren richtet sich nach dem Streitwert.</w:t>
      </w:r>
    </w:p>
    <w:p>
      <w:pPr>
        <w:pStyle w:val="ListBullet"/>
      </w:pPr>
      <w:r>
        <w:rPr>
          <w:b/>
        </w:rPr>
        <w:t>Hinweis nach § 12 Abs. 2 RVG:</w:t>
      </w:r>
      <w:r>
        <w:t xml:space="preserve"> Bei Aenderung der Gegenstandsbewertung wird die Rechnung korrigiert.</w:t>
      </w:r>
    </w:p>
    <w:p>
      <w:pPr>
        <w:pStyle w:val="Heading2"/>
      </w:pPr>
      <w:r>
        <w:rPr>
          <w:rFonts w:ascii="Times New Roman" w:hAnsi="Times New Roman"/>
        </w:rPr>
        <w:t>Aussteller</w:t>
      </w:r>
    </w:p>
    <w:p>
      <w:pPr>
        <w:jc w:val="left"/>
      </w:pPr>
      <w:r>
        <w:t>Pohlmann und Pohlmann RAe PartG mbB</w:t>
      </w:r>
    </w:p>
    <w:p>
      <w:pPr>
        <w:jc w:val="left"/>
      </w:pPr>
      <w:r>
        <w:t>Friedrichstrasse 117, 10117 Berlin</w:t>
      </w:r>
    </w:p>
    <w:p>
      <w:pPr>
        <w:jc w:val="left"/>
      </w:pPr>
      <w:r>
        <w:t>Steuernummer 11/120/0345, USt-ID DE293847251</w:t>
      </w:r>
    </w:p>
    <w:p/>
    <w:p>
      <w:pPr>
        <w:jc w:val="left"/>
      </w:pPr>
      <w:r>
        <w:t>RAin Dr. Friederike Hesselmann-Sauerbruch</w:t>
      </w:r>
    </w:p>
    <w:p>
      <w:pPr>
        <w:jc w:val="left"/>
      </w:pPr>
      <w:r>
        <w:t>Berlin, 05.06.2026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LausitzStorage 200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LausitzStorage 200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z.Hd. Dipl.-Ing. Karlheinz Bauernfeind, Industriegelaende 22, 03185 Peitz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