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Globalzessionsvertrag Pacht- und Nebenforderungen LEAG ./. LausitzStorage 200</w:t>
      </w:r>
    </w:p>
    <w:p>
      <w:pPr>
        <w:jc w:val="left"/>
      </w:pPr>
      <w:r>
        <w:rPr>
          <w:b/>
        </w:rPr>
        <w:t>Datum:</w:t>
      </w:r>
      <w:r>
        <w:t xml:space="preserve"> 04.09.2025</w:t>
      </w:r>
    </w:p>
    <w:p>
      <w:pPr>
        <w:jc w:val="left"/>
      </w:pPr>
      <w:r>
        <w:rPr>
          <w:b/>
        </w:rPr>
        <w:t>Form:</w:t>
      </w:r>
      <w:r>
        <w:t xml:space="preserve"> privatschriftlich, dreifach</w:t>
      </w:r>
    </w:p>
    <w:p>
      <w:pPr>
        <w:jc w:val="left"/>
      </w:pPr>
      <w:r>
        <w:rPr>
          <w:b/>
        </w:rPr>
        <w:t>Anzeige an LEAG erfolgt:</w:t>
      </w:r>
      <w:r>
        <w:t xml:space="preserve"> </w:t>
      </w:r>
      <w:r>
        <w:rPr>
          <w:b/>
        </w:rPr>
        <w:t>fehlt bis heute</w:t>
      </w:r>
      <w:r>
        <w:t xml:space="preserve"> — siehe Befund unten</w:t>
      </w:r>
    </w:p>
    <w:p>
      <w:pPr>
        <w:pStyle w:val="Heading2"/>
      </w:pPr>
      <w:r>
        <w:rPr>
          <w:rFonts w:ascii="Times New Roman" w:hAnsi="Times New Roman"/>
        </w:rPr>
        <w:t>Vertragsparteien</w:t>
      </w:r>
    </w:p>
    <w:p>
      <w:pPr>
        <w:pStyle w:val="ListBullet"/>
      </w:pPr>
      <w:r>
        <w:rPr>
          <w:b/>
        </w:rPr>
        <w:t>Zedentin:</w:t>
      </w:r>
      <w:r>
        <w:t xml:space="preserve"> LausitzStorage 200 GmbH i.G., HRB 12217 Cottbus, vertreten durch Karlheinz Bauernfeind</w:t>
      </w:r>
    </w:p>
    <w:p>
      <w:pPr>
        <w:pStyle w:val="ListBullet"/>
      </w:pPr>
      <w:r>
        <w:rPr>
          <w:b/>
        </w:rPr>
        <w:t>Zessionar (Security Agent):</w:t>
      </w:r>
      <w:r>
        <w:t xml:space="preserve"> Federfuchs Knöterich &amp; Partner LLP, Mainzer Landstraße 16, 60325 Frankfurt am Main, für Rechnung des Sicherheitenpools (Akte 34)</w:t>
      </w:r>
    </w:p>
    <w:p>
      <w:pPr>
        <w:pStyle w:val="ListBullet"/>
      </w:pPr>
      <w:r>
        <w:rPr>
          <w:b/>
        </w:rPr>
        <w:t>Drittschuldnerin (Pachtschuldnerin, nicht selbst Vertragspartei):</w:t>
      </w:r>
      <w:r>
        <w:t xml:space="preserve"> LEAG Immobilien GmbH, HRB 11842 Cottbus</w:t>
      </w:r>
    </w:p>
    <w:p>
      <w:pPr>
        <w:pStyle w:val="Heading2"/>
      </w:pPr>
      <w:r>
        <w:rPr>
          <w:rFonts w:ascii="Times New Roman" w:hAnsi="Times New Roman"/>
        </w:rPr>
        <w:t>§ 1 Abgetretene Forderungen</w:t>
      </w:r>
    </w:p>
    <w:p>
      <w:pPr>
        <w:jc w:val="left"/>
      </w:pPr>
      <w:r>
        <w:t>Die Zedentin tritt hiermit sämtliche gegenwärtigen und künftigen Forderungen aus folgenden Rechtsverhältnissen ab:</w:t>
      </w:r>
    </w:p>
    <w:p>
      <w:pPr>
        <w:pStyle w:val="ListNumber"/>
      </w:pPr>
      <w:r>
        <w:rPr>
          <w:b/>
        </w:rPr>
        <w:t>Pachtvertrag LEAG ./. LausitzStorage</w:t>
      </w:r>
      <w:r>
        <w:t xml:space="preserve"> vom 11.04.2025 (Akte 03) einschließlich Nachträge 1 (Akte 04) und 2 (Akte 05) — insbesondere:</w:t>
      </w:r>
    </w:p>
    <w:p>
      <w:pPr>
        <w:pStyle w:val="ListBullet"/>
      </w:pPr>
      <w:r>
        <w:t>Rückerstattungsansprüche aus geleisteter Pachtvorauszahlung</w:t>
      </w:r>
    </w:p>
    <w:p>
      <w:pPr>
        <w:pStyle w:val="ListBullet"/>
      </w:pPr>
      <w:r>
        <w:t>Schadensersatzansprüche aus unberechtigter Kündigung der LEAG</w:t>
      </w:r>
    </w:p>
    <w:p>
      <w:pPr>
        <w:pStyle w:val="ListBullet"/>
      </w:pPr>
      <w:r>
        <w:t>Aufwendungsersatz nach § 539 BGB</w:t>
      </w:r>
    </w:p>
    <w:p>
      <w:pPr>
        <w:pStyle w:val="ListNumber"/>
      </w:pPr>
      <w:r>
        <w:rPr>
          <w:b/>
        </w:rPr>
        <w:t>Sämtliche Nebenforderungen</w:t>
      </w:r>
      <w:r>
        <w:t xml:space="preserve"> aus dem Pachtverhältnis — Zinsen, Aufwendungsersatz, Schadensersatz</w:t>
      </w:r>
    </w:p>
    <w:p>
      <w:pPr>
        <w:pStyle w:val="ListNumber"/>
      </w:pPr>
      <w:r>
        <w:rPr>
          <w:b/>
        </w:rPr>
        <w:t>Versicherungsforderungen</w:t>
      </w:r>
      <w:r>
        <w:t>, soweit sie an die Stelle der vorgenannten Forderungen treten</w:t>
      </w:r>
    </w:p>
    <w:p>
      <w:pPr>
        <w:pStyle w:val="ListNumber"/>
      </w:pPr>
      <w:r>
        <w:rPr>
          <w:b/>
        </w:rPr>
        <w:t>Anteile am Erlös aus Vermarktung der Speicheranlage</w:t>
      </w:r>
      <w:r>
        <w:t>, soweit diese Erlöse mittelbar aus der gepachteten Fläche fließen</w:t>
      </w:r>
    </w:p>
    <w:p>
      <w:pPr>
        <w:pStyle w:val="Heading2"/>
      </w:pPr>
      <w:r>
        <w:rPr>
          <w:rFonts w:ascii="Times New Roman" w:hAnsi="Times New Roman"/>
        </w:rPr>
        <w:t>§ 2 Bedingte Vorausabtretung künftiger Forderungen</w:t>
      </w:r>
    </w:p>
    <w:p>
      <w:pPr>
        <w:jc w:val="left"/>
      </w:pPr>
      <w:r>
        <w:t>Künftige Forderungen aus späteren Verlängerungen oder Erneuerungen des Pachtvertrages werden bedingt abgetreten gemäß § 158 Abs. 1 BGB. Die Abtretung wird mit Entstehen der jeweiligen Forderung wirksam.</w:t>
      </w:r>
    </w:p>
    <w:p>
      <w:pPr>
        <w:pStyle w:val="Heading2"/>
      </w:pPr>
      <w:r>
        <w:rPr>
          <w:rFonts w:ascii="Times New Roman" w:hAnsi="Times New Roman"/>
        </w:rPr>
        <w:t>§ 3 Sicherungszweck</w:t>
      </w:r>
    </w:p>
    <w:p>
      <w:pPr>
        <w:jc w:val="left"/>
      </w:pPr>
      <w:r>
        <w:t>Sicherung sämtlicher Forderungen aus</w:t>
      </w:r>
    </w:p>
    <w:p>
      <w:pPr>
        <w:jc w:val="left"/>
      </w:pPr>
      <w:r>
        <w:t>(a) Senior-Darlehensvertrag NordCap (Akte 08),</w:t>
      </w:r>
    </w:p>
    <w:p>
      <w:pPr>
        <w:jc w:val="left"/>
      </w:pPr>
      <w:r>
        <w:t>(b) Wandeldarlehensvertrag NordCap (Akte 09),</w:t>
      </w:r>
    </w:p>
    <w:p>
      <w:pPr>
        <w:jc w:val="left"/>
      </w:pPr>
      <w:r>
        <w:t>(c) Erstattungsansprüche ILB aus dem Avalrahmenvertrag (Akte 12).</w:t>
      </w:r>
    </w:p>
    <w:p>
      <w:pPr>
        <w:jc w:val="left"/>
      </w:pPr>
      <w:r>
        <w:t>Rangfolge nach § 2 Sicherheitenpoolvertrag (Akte 34).</w:t>
      </w:r>
    </w:p>
    <w:p>
      <w:pPr>
        <w:pStyle w:val="Heading2"/>
      </w:pPr>
      <w:r>
        <w:rPr>
          <w:rFonts w:ascii="Times New Roman" w:hAnsi="Times New Roman"/>
        </w:rPr>
        <w:t>§ 4 Anzeige an Drittschuldnerin nach § 407 BGB (Empfehlung)</w:t>
      </w:r>
    </w:p>
    <w:p>
      <w:pPr>
        <w:jc w:val="left"/>
      </w:pPr>
      <w:r>
        <w:t xml:space="preserve">Die Anzeige der Abtretung an die LEAG Immobilien GmbH ist nach § 407 BGB </w:t>
      </w:r>
      <w:r>
        <w:rPr>
          <w:b/>
        </w:rPr>
        <w:t>nicht konstitutiv</w:t>
      </w:r>
      <w:r>
        <w:t xml:space="preserve"> für die Wirksamkeit der Abtretung (anders als beim Pfandrecht nach § 1280 BGB). Sie schützt aber den Zessionar vor schuldbefreienden Leistungen der LEAG an die Zedentin.</w:t>
      </w:r>
    </w:p>
    <w:p>
      <w:pPr>
        <w:jc w:val="left"/>
      </w:pPr>
      <w:r>
        <w:t>Die Parteien sind sich einig:</w:t>
      </w:r>
    </w:p>
    <w:p>
      <w:pPr>
        <w:pStyle w:val="ListBullet"/>
      </w:pPr>
      <w:r>
        <w:t xml:space="preserve">Die Anzeige soll </w:t>
      </w:r>
      <w:r>
        <w:rPr>
          <w:b/>
        </w:rPr>
        <w:t>gemeinsam</w:t>
      </w:r>
      <w:r>
        <w:t xml:space="preserve"> durch Zedentin und Zessionar erfolgen, sobald der Sicherungsfall eintritt (stiller Globalzessionsvertrag).</w:t>
      </w:r>
    </w:p>
    <w:p>
      <w:pPr>
        <w:pStyle w:val="ListBullet"/>
      </w:pPr>
      <w:r>
        <w:t>Bis dahin bleibt die Verpfändung „unangezeigt" — LEAG soll im Tagesgeschäft nicht erfahren, dass ihre Mieterin/Pächterin Sicherheiten an Dritte abgetreten hat.</w:t>
      </w:r>
    </w:p>
    <w:p>
      <w:pPr>
        <w:pStyle w:val="Heading2"/>
      </w:pPr>
      <w:r>
        <w:rPr>
          <w:rFonts w:ascii="Times New Roman" w:hAnsi="Times New Roman"/>
        </w:rPr>
        <w:t>§ 5 Einziehungsbefugnis Zedentin</w:t>
      </w:r>
    </w:p>
    <w:p>
      <w:pPr>
        <w:jc w:val="left"/>
      </w:pPr>
      <w:r>
        <w:t>Solange kein Sicherungsfall eingetreten ist, ist die Zedentin berechtigt, sämtliche abgetretenen Forderungen im eigenen Namen einzuziehen. Bei Eintritt des Sicherungsfalls (siehe § 4 Akte 34) erlischt diese Einziehungsbefugnis.</w:t>
      </w:r>
    </w:p>
    <w:p>
      <w:pPr>
        <w:pStyle w:val="Heading2"/>
      </w:pPr>
      <w:r>
        <w:rPr>
          <w:rFonts w:ascii="Times New Roman" w:hAnsi="Times New Roman"/>
        </w:rPr>
        <w:t>§ 6 Versicherungen der Zedentin</w:t>
      </w:r>
    </w:p>
    <w:p>
      <w:pPr>
        <w:jc w:val="left"/>
      </w:pPr>
      <w:r>
        <w:t>Die Zedentin versichert:</w:t>
      </w:r>
    </w:p>
    <w:p>
      <w:pPr>
        <w:pStyle w:val="ListBullet"/>
      </w:pPr>
      <w:r>
        <w:t>die abgetretenen Forderungen sind frei von Rechten Dritter</w:t>
      </w:r>
    </w:p>
    <w:p>
      <w:pPr>
        <w:pStyle w:val="ListBullet"/>
      </w:pPr>
      <w:r>
        <w:t>es bestehen keine konkurrierenden Abtretungen oder Pfändungen</w:t>
      </w:r>
    </w:p>
    <w:p>
      <w:pPr>
        <w:pStyle w:val="ListBullet"/>
      </w:pPr>
      <w:r>
        <w:t>der Pachtvertrag ist wirksam (Anlage 1: Pachtvertrag Akte 03)</w:t>
      </w:r>
    </w:p>
    <w:p>
      <w:pPr>
        <w:pStyle w:val="Heading2"/>
      </w:pPr>
      <w:r>
        <w:rPr>
          <w:rFonts w:ascii="Times New Roman" w:hAnsi="Times New Roman"/>
        </w:rPr>
        <w:t>§ 7 Bestimmtheitsgrundsatz</w:t>
      </w:r>
    </w:p>
    <w:p>
      <w:pPr>
        <w:jc w:val="left"/>
      </w:pPr>
      <w:r>
        <w:t>Die Parteien gehen davon aus, dass die Abtretung dem Bestimmtheitsgrundsatz (§ 398 BGB) genügt, weil die abgetretenen Forderungen durch Benennung des Schuldners (LEAG Immobilien GmbH), des Rechtsverhältnisses (Pachtvertrag vom 11.04.2025 und Nachträge), der Beträge dem Grunde nach und der zeitlichen Erstreckung (gegenwärtige und künftige Forderungen aus diesem Verhältnis) hinreichend individualisierbar sind.</w:t>
      </w:r>
    </w:p>
    <w:p>
      <w:pPr>
        <w:pStyle w:val="Heading2"/>
      </w:pPr>
      <w:r>
        <w:rPr>
          <w:rFonts w:ascii="Times New Roman" w:hAnsi="Times New Roman"/>
        </w:rPr>
        <w:t>§ 8 Verhältnis zum Drittinteresse LEAG</w:t>
      </w:r>
    </w:p>
    <w:p>
      <w:pPr>
        <w:jc w:val="left"/>
      </w:pPr>
      <w:r>
        <w:t>Klargestellt wird: Die Abtretung berührt die Verpflichtungen der LausitzStorage gegenüber LEAG nicht. Insbesondere bleibt die Zedentin verpflichtet, Pacht zu zahlen, Fortschrittsberichte zu liefern (§ 14 Pachtvertrag) und das Genehmigungsregime gemäß § 5 Abs. 1 Pachtvertrag iVm 2. Nachtrag zu beachten.</w:t>
      </w:r>
    </w:p>
    <w:p>
      <w:pPr>
        <w:pStyle w:val="Heading2"/>
      </w:pPr>
      <w:r>
        <w:rPr>
          <w:rFonts w:ascii="Times New Roman" w:hAnsi="Times New Roman"/>
        </w:rPr>
        <w:t>§ 9 Allgemeine Bestimmungen</w:t>
      </w:r>
    </w:p>
    <w:p>
      <w:pPr>
        <w:pStyle w:val="ListBullet"/>
      </w:pPr>
      <w:r>
        <w:t>Schriftform für Änderungen</w:t>
      </w:r>
    </w:p>
    <w:p>
      <w:pPr>
        <w:pStyle w:val="ListBullet"/>
      </w:pPr>
      <w:r>
        <w:t>Gerichtsstand Frankfurt am Main</w:t>
      </w:r>
    </w:p>
    <w:p>
      <w:pPr>
        <w:pStyle w:val="ListBullet"/>
      </w:pPr>
      <w:r>
        <w:t>Anwendbares Recht: deutsches Recht</w:t>
      </w:r>
    </w:p>
    <w:p>
      <w:pPr>
        <w:pStyle w:val="Heading2"/>
      </w:pPr>
      <w:r>
        <w:rPr>
          <w:rFonts w:ascii="Times New Roman" w:hAnsi="Times New Roman"/>
        </w:rPr>
        <w:t>Unterzeichnung</w:t>
      </w:r>
    </w:p>
    <w:p>
      <w:pPr>
        <w:pStyle w:val="ListBullet"/>
      </w:pPr>
      <w:r>
        <w:t>LausitzStorage: Karlheinz Bauernfeind (Cottbus, 04.09.2025)</w:t>
      </w:r>
    </w:p>
    <w:p>
      <w:pPr>
        <w:pStyle w:val="ListBullet"/>
      </w:pPr>
      <w:r>
        <w:t>Federfuchs Knöterich &amp; Partner: Dr. Manfred Heiko Burwitz (Frankfurt am Main, 04.09.2025)</w:t>
      </w:r>
    </w:p>
    <w:p>
      <w:pPr>
        <w:pStyle w:val="Heading2"/>
      </w:pPr>
      <w:r>
        <w:rPr>
          <w:rFonts w:ascii="Times New Roman" w:hAnsi="Times New Roman"/>
        </w:rPr>
        <w:t>Aktenlage</w:t>
      </w:r>
    </w:p>
    <w:p>
      <w:pPr>
        <w:pStyle w:val="ListBullet"/>
      </w:pPr>
      <w:r>
        <w:t>Original: Federfuchs Knöterich &amp; Partner</w:t>
      </w:r>
    </w:p>
    <w:p>
      <w:pPr>
        <w:pStyle w:val="ListBullet"/>
      </w:pPr>
      <w:r>
        <w:t>Beglaubigte Kopie LausitzStorage und Pohlmann &amp; Pohlmann (eingegangen 11.09.2025)</w:t>
      </w:r>
    </w:p>
    <w:p>
      <w:pPr>
        <w:pStyle w:val="ListBullet"/>
      </w:pPr>
      <w:r>
        <w:t xml:space="preserve">Anzeige an LEAG: </w:t>
      </w:r>
      <w:r>
        <w:rPr>
          <w:b/>
        </w:rPr>
        <w:t>nicht erfolgt</w:t>
      </w:r>
      <w:r>
        <w:t xml:space="preserve"> (stiller Globalzessionsvertrag, nach § 4 erst bei Sicherungsfall vorgesehen)</w:t>
      </w:r>
    </w:p>
    <w:p>
      <w:pPr>
        <w:pStyle w:val="Heading2"/>
      </w:pPr>
      <w:r>
        <w:rPr>
          <w:rFonts w:ascii="Times New Roman" w:hAnsi="Times New Roman"/>
        </w:rPr>
        <w:t>❗ Befund Statusersteller</w:t>
      </w:r>
    </w:p>
    <w:p>
      <w:pPr>
        <w:jc w:val="left"/>
      </w:pPr>
      <w:r>
        <w:t xml:space="preserve">Stille Globalzessionsverträge haben in der NordCap-Drawstop-Krise (Akte 13) </w:t>
      </w:r>
      <w:r>
        <w:rPr>
          <w:b/>
        </w:rPr>
        <w:t>eine wichtige Funktion</w:t>
      </w:r>
      <w:r>
        <w:t>: Solange die LEAG nichts von der Abtretung weiß, kann sie auf die Kündigungsdrohung (Akte 19) und das Genehmigungsregime-Thema reagieren, ohne in die Konstellation einer Drei-Parteien-Auseinandersetzung NordCap/Federfuchs Knöterich &amp; Partner/LausitzStorage gegen LEAG zu kommen. Die offene Anzeige würde die LEAG vorwarnen und das Verhandlungsklima in der Kündigungsabwehr (Akte 19, 32) verschlechtern.</w:t>
      </w:r>
    </w:p>
    <w:p>
      <w:pPr>
        <w:jc w:val="left"/>
      </w:pPr>
      <w:r>
        <w:rPr>
          <w:b/>
        </w:rPr>
        <w:t>Status:</w:t>
      </w:r>
      <w:r>
        <w:t xml:space="preserve"> wirksam, aber nicht angezeigt. Statusführung: gelb (latent).</w:t>
      </w:r>
    </w:p>
    <w:p>
      <w:pPr>
        <w:pStyle w:val="Heading2"/>
      </w:pPr>
      <w:r>
        <w:rPr>
          <w:rFonts w:ascii="Times New Roman" w:hAnsi="Times New Roman"/>
        </w:rPr>
        <w:t>Normbezug</w:t>
      </w:r>
    </w:p>
    <w:p>
      <w:pPr>
        <w:pStyle w:val="ListBullet"/>
      </w:pPr>
      <w:r>
        <w:t>§ 398 BGB (Abtretung — Bestimmtheitsgrundsatz)</w:t>
      </w:r>
    </w:p>
    <w:p>
      <w:pPr>
        <w:pStyle w:val="ListBullet"/>
      </w:pPr>
      <w:r>
        <w:t>§ 407 BGB (Wirkung bei Unkenntnis des Schuldners — Schutz des Zessionars)</w:t>
      </w:r>
    </w:p>
    <w:p>
      <w:pPr>
        <w:pStyle w:val="ListBullet"/>
      </w:pPr>
      <w:r>
        <w:t>§ 158 Abs. 1 BGB (bedingte Abtretung für künftige Forderungen)</w:t>
      </w:r>
    </w:p>
    <w:p>
      <w:pPr>
        <w:pStyle w:val="ListBullet"/>
      </w:pPr>
      <w:r>
        <w:t>§ 539 BGB (Aufwendungsersatz des Mieters/Pächters)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LausitzStorage 200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LausitzStorage 200 GmbH</w:t>
    </w:r>
  </w:p>
  <w:p>
    <w:pPr>
      <w:jc w:val="left"/>
      <w:pBdr>
        <w:bottom w:val="single" w:sz="6" w:space="2" w:color="1F3864"/>
      </w:pBdr>
    </w:pPr>
    <w:r>
      <w:rPr>
        <w:rFonts w:ascii="Times New Roman" w:hAnsi="Times New Roman"/>
        <w:color w:val="6B6B66"/>
        <w:sz w:val="16"/>
      </w:rPr>
      <w:t>HRB 12217 Cottbus, vertreten durch Karlheinz Bauernfeind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