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Anwaltsschreiben Lindenthal — Notarprotest und Forderung Cap-Table-Klarstellung</w:t>
      </w:r>
    </w:p>
    <w:p>
      <w:pPr>
        <w:jc w:val="left"/>
      </w:pPr>
      <w:r>
        <w:rPr>
          <w:b/>
        </w:rPr>
        <w:t>Absender:</w:t>
      </w:r>
      <w:r>
        <w:t xml:space="preserve"> Dr. Henriette Schweikart-Bößer, Rechtsanwältin (Fachanwältin Gesellschaftsrecht), Sozietät Schweikart Knabel und Partner, Helmholtzstraße 2, 03046 Cottbus</w:t>
      </w:r>
    </w:p>
    <w:p>
      <w:pPr>
        <w:jc w:val="left"/>
      </w:pPr>
      <w:r>
        <w:rPr>
          <w:b/>
        </w:rPr>
        <w:t>Mandantin:</w:t>
      </w:r>
      <w:r>
        <w:t xml:space="preserve"> Petra Lindenthal (9-%-Gesellschafterin LausitzStorage 200 GmbH)</w:t>
      </w:r>
    </w:p>
    <w:p>
      <w:pPr>
        <w:jc w:val="left"/>
      </w:pPr>
      <w:r>
        <w:rPr>
          <w:b/>
        </w:rPr>
        <w:t>Adressat:</w:t>
      </w:r>
      <w:r>
        <w:t xml:space="preserve"> LausitzStorage 200 GmbH, zHd Geschäftsführer Karlheinz Bauernfeind (in cc: alle Mitgesellschafter Bauernfeind/NordCap/Stadtwerke; in cc: Notar Dr. Albers, Pohlmann &amp; Pohlmann, Federfuchs Knöterich &amp; Partner)</w:t>
      </w:r>
    </w:p>
    <w:p>
      <w:pPr>
        <w:jc w:val="left"/>
      </w:pPr>
      <w:r>
        <w:rPr>
          <w:b/>
        </w:rPr>
        <w:t>Datum:</w:t>
      </w:r>
      <w:r>
        <w:t xml:space="preserve"> 05.06.2026</w:t>
      </w:r>
    </w:p>
    <w:p>
      <w:pPr>
        <w:jc w:val="left"/>
      </w:pPr>
      <w:r>
        <w:rPr>
          <w:b/>
        </w:rPr>
        <w:t>Versandweg:</w:t>
      </w:r>
      <w:r>
        <w:t xml:space="preserve"> Einwurf-Einschreiben RM 5117 9026 4 DE (Zugang LausitzStorage 09.06.2026) plus E-Mail an karlheinz.bauernfeind@lausitzstorage.de am 05.06.2026 11:14 Uhr</w:t>
      </w:r>
    </w:p>
    <w:p>
      <w:pPr>
        <w:jc w:val="left"/>
      </w:pPr>
      <w:r>
        <w:rPr>
          <w:b/>
        </w:rPr>
        <w:t>Aktenzeichen Schweikart:</w:t>
      </w:r>
      <w:r>
        <w:t xml:space="preserve"> SK-2026-0418/Lindenthal-LausitzStorage</w:t>
      </w:r>
    </w:p>
    <w:p>
      <w:pPr>
        <w:pStyle w:val="Heading2"/>
      </w:pPr>
      <w:r>
        <w:rPr>
          <w:rFonts w:ascii="Times New Roman" w:hAnsi="Times New Roman"/>
        </w:rPr>
        <w:t>Anschreiben</w:t>
      </w:r>
    </w:p>
    <w:p>
      <w:pPr>
        <w:ind w:left="567"/>
      </w:pPr>
      <w:r>
        <w:rPr>
          <w:i/>
        </w:rPr>
        <w:t>„Sehr geehrter Herr Bauernfeind,</w:t>
      </w:r>
    </w:p>
    <w:p>
      <w:pPr>
        <w:ind w:left="567"/>
      </w:pPr>
    </w:p>
    <w:p>
      <w:pPr>
        <w:ind w:left="567"/>
      </w:pPr>
      <w:r>
        <w:rPr>
          <w:i/>
        </w:rPr>
        <w:t>in vorbezeichneter Angelegenheit vertrete ich die Mitgesellschafterin Frau Petra Lindenthal. Vollmacht versichere ich anwaltlich. Ich nehme Bezug auf den Antrag der NordCap Infrastructure Fund SCS vom 30.05.2026 (Einberufung außerordentlicher Gesellschafterversammlung; Tagesordnungspunkt 2: Abberufung).</w:t>
      </w:r>
    </w:p>
    <w:p>
      <w:pPr>
        <w:ind w:left="567"/>
      </w:pPr>
    </w:p>
    <w:p>
      <w:pPr>
        <w:ind w:left="567"/>
      </w:pPr>
      <w:r>
        <w:rPr>
          <w:i/>
        </w:rPr>
        <w:t>Im Namen meiner Mandantin habe ich Folgendes anzuzeigen:"</w:t>
      </w:r>
    </w:p>
    <w:p>
      <w:pPr>
        <w:pStyle w:val="Heading2"/>
      </w:pPr>
      <w:r>
        <w:rPr>
          <w:rFonts w:ascii="Times New Roman" w:hAnsi="Times New Roman"/>
        </w:rPr>
        <w:t>I. Notarprotest gegen Cap Table V2</w:t>
      </w:r>
    </w:p>
    <w:p>
      <w:pPr>
        <w:ind w:left="567"/>
      </w:pPr>
      <w:r>
        <w:rPr>
          <w:i/>
        </w:rPr>
        <w:t>„Meine Mandantin protestiert formell und ausdrücklich gegen die in der von der Geschäftsführung intern geführten Cap-Table-Version (Stand 30.04.2026, Akte 17) ausgewiesene Beteiligungsstruktur, wonach</w:t>
      </w:r>
    </w:p>
    <w:p>
      <w:pPr>
        <w:ind w:left="567"/>
      </w:pPr>
      <w:r>
        <w:rPr>
          <w:i/>
        </w:rPr>
        <w:t>- NordCap mit 24.180 EUR Stammeinlage (30,61 %),</w:t>
      </w:r>
    </w:p>
    <w:p>
      <w:pPr>
        <w:ind w:left="567"/>
      </w:pPr>
      <w:r>
        <w:rPr>
          <w:i/>
        </w:rPr>
        <w:t>- die Gesellschaft insgesamt mit 78.780 EUR Stammkapital</w:t>
      </w:r>
    </w:p>
    <w:p>
      <w:pPr>
        <w:ind w:left="567"/>
      </w:pPr>
      <w:r>
        <w:rPr>
          <w:i/>
        </w:rPr>
        <w:t>ausgewiesen wird.</w:t>
      </w:r>
    </w:p>
    <w:p>
      <w:pPr>
        <w:ind w:left="567"/>
      </w:pPr>
    </w:p>
    <w:p>
      <w:pPr>
        <w:ind w:left="567"/>
      </w:pPr>
      <w:r>
        <w:rPr>
          <w:i/>
        </w:rPr>
        <w:t xml:space="preserve">Dieser Stand entspricht </w:t>
      </w:r>
      <w:r>
        <w:rPr>
          <w:b/>
          <w:i/>
        </w:rPr>
        <w:t>nicht</w:t>
      </w:r>
      <w:r>
        <w:rPr>
          <w:i/>
        </w:rPr>
        <w:t xml:space="preserve"> dem notariell beurkundeten und im Handelsregister verlautbarten Stand (78.000 EUR; NordCap 23.400 EUR; 30,00 %). Eine Differenz von 780 EUR Stammeinlage gemäß Wandlung des Wandeldarlehens ist </w:t>
      </w:r>
      <w:r>
        <w:rPr>
          <w:b/>
          <w:i/>
        </w:rPr>
        <w:t>bisher weder beschlossen noch durchgeführt noch beurkundet</w:t>
      </w:r>
      <w:r>
        <w:rPr>
          <w:i/>
        </w:rPr>
        <w:t>. Meine Mandantin sieht in der internen Führung dieser abweichenden Cap-Table eine erhebliche, an der Grenze zur Manipulation liegende Pflichtverletzung der Geschäftsführung.</w:t>
      </w:r>
    </w:p>
    <w:p>
      <w:pPr>
        <w:ind w:left="567"/>
      </w:pPr>
    </w:p>
    <w:p>
      <w:pPr>
        <w:ind w:left="567"/>
      </w:pPr>
      <w:r>
        <w:rPr>
          <w:i/>
        </w:rPr>
        <w:t xml:space="preserve">Mit diesem Schreiben wird daher Notarprotest erhoben (§ 79 BNotO analog). Eine </w:t>
      </w:r>
      <w:r>
        <w:rPr>
          <w:b/>
          <w:i/>
        </w:rPr>
        <w:t>beglaubigte Abschrift</w:t>
      </w:r>
      <w:r>
        <w:rPr>
          <w:i/>
        </w:rPr>
        <w:t xml:space="preserve"> dieses Schreibens wird gleichzeitig an Notarin Dr. Ramona Albers, Berlin, übersandt mit der Bitte um aktenkundige Verwahrung bei UR 387/2025."</w:t>
      </w:r>
    </w:p>
    <w:p>
      <w:pPr>
        <w:pStyle w:val="Heading2"/>
      </w:pPr>
      <w:r>
        <w:rPr>
          <w:rFonts w:ascii="Times New Roman" w:hAnsi="Times New Roman"/>
        </w:rPr>
        <w:t>II. Anforderung verbindlicher Klarstellung</w:t>
      </w:r>
    </w:p>
    <w:p>
      <w:pPr>
        <w:ind w:left="567"/>
      </w:pPr>
      <w:r>
        <w:rPr>
          <w:i/>
        </w:rPr>
        <w:t xml:space="preserve">„Im Namen meiner Mandantin fordere ich die Geschäftsführung auf, bis spätestens </w:t>
      </w:r>
      <w:r>
        <w:rPr>
          <w:b/>
          <w:i/>
        </w:rPr>
        <w:t>20.06.2026</w:t>
      </w:r>
      <w:r>
        <w:rPr>
          <w:i/>
        </w:rPr>
        <w:t xml:space="preserve"> folgende Klarstellungen schriftlich zu erteilen:</w:t>
      </w:r>
    </w:p>
    <w:p>
      <w:pPr>
        <w:ind w:left="567"/>
      </w:pPr>
    </w:p>
    <w:p>
      <w:pPr>
        <w:ind w:left="567"/>
      </w:pPr>
      <w:r>
        <w:rPr>
          <w:i/>
        </w:rPr>
        <w:t>1. Bestätigung, dass die einzig verbindliche Beteiligungsstruktur die unter Akte 16 (Cap Table V1 Hentschel-Linie) dokumentierte ist</w:t>
      </w:r>
    </w:p>
    <w:p>
      <w:pPr>
        <w:ind w:left="567"/>
      </w:pPr>
      <w:r>
        <w:rPr>
          <w:i/>
        </w:rPr>
        <w:t>2. Vorlage eines bereinigten Cap-Table-Sheets unter Streichung der V2-Linie aus allen internen Systemen</w:t>
      </w:r>
    </w:p>
    <w:p>
      <w:pPr>
        <w:ind w:left="567"/>
      </w:pPr>
      <w:r>
        <w:rPr>
          <w:i/>
        </w:rPr>
        <w:t>3. Bestätigung, dass keine Investoren-Updates, Bankenkommunikation oder sonstige Außenkommunikation auf Basis V2 versandt worden sind oder versandt werden</w:t>
      </w:r>
    </w:p>
    <w:p>
      <w:pPr>
        <w:ind w:left="567"/>
      </w:pPr>
      <w:r>
        <w:rPr>
          <w:i/>
        </w:rPr>
        <w:t>4. Klarstellung gegenüber NordCap, dass die in deren Antrag vom 30.05.2026 unter Anlage A2 vorgenommene Auslegung der V2-Linie keine Grundlage in einem Gesellschafterbeschluss findet</w:t>
      </w:r>
    </w:p>
    <w:p>
      <w:pPr>
        <w:ind w:left="567"/>
      </w:pPr>
    </w:p>
    <w:p>
      <w:pPr>
        <w:ind w:left="567"/>
      </w:pPr>
      <w:r>
        <w:rPr>
          <w:i/>
        </w:rPr>
        <w:t>Sollten die Klarstellungen bis zum 20.06.2026 nicht vorliegen, behalten wir uns gerichtliche Schritte ausdrücklich vor — insbesondere einstweilige Verfügung auf Unterlassung der V2-Verwendung sowie Auskunftsklage nach § 51a GmbHG."</w:t>
      </w:r>
    </w:p>
    <w:p>
      <w:pPr>
        <w:pStyle w:val="Heading2"/>
      </w:pPr>
      <w:r>
        <w:rPr>
          <w:rFonts w:ascii="Times New Roman" w:hAnsi="Times New Roman"/>
        </w:rPr>
        <w:t>III. Position zur Abberufung Bauernfeind</w:t>
      </w:r>
    </w:p>
    <w:p>
      <w:pPr>
        <w:ind w:left="567"/>
      </w:pPr>
      <w:r>
        <w:rPr>
          <w:i/>
        </w:rPr>
        <w:t xml:space="preserve">„Meine Mandantin wird in der einberufenen Gesellschafterversammlung zum Antrag der NordCap auf Abberufung des Geschäftsführers Bauernfeind nach derzeitigem Sachstand </w:t>
      </w:r>
      <w:r>
        <w:rPr>
          <w:b/>
          <w:i/>
        </w:rPr>
        <w:t>stimmenthalten</w:t>
      </w:r>
      <w:r>
        <w:rPr>
          <w:i/>
        </w:rPr>
        <w:t>, vorbehaltlich neuer Erkenntnisse aus der Diskussion in der Versammlung. Meine Mandantin sieht durchaus pflichtwidrige Verhaltensweisen der Geschäftsführung (Cap-Table-Führung, verspätete Wandeldarlehens-Reparatur, LEAG-Kommunikation), hält aber eine sofortige Abberufung für nicht verhältnismäßig.</w:t>
      </w:r>
    </w:p>
    <w:p>
      <w:pPr>
        <w:ind w:left="567"/>
      </w:pPr>
    </w:p>
    <w:p>
      <w:pPr>
        <w:ind w:left="567"/>
      </w:pPr>
      <w:r>
        <w:rPr>
          <w:i/>
        </w:rPr>
        <w:t xml:space="preserve">Meine Mandantin wird stattdessen einen </w:t>
      </w:r>
      <w:r>
        <w:rPr>
          <w:b/>
          <w:i/>
        </w:rPr>
        <w:t>eigenen Antrag</w:t>
      </w:r>
      <w:r>
        <w:rPr>
          <w:i/>
        </w:rPr>
        <w:t xml:space="preserve"> stellen auf:</w:t>
      </w:r>
    </w:p>
    <w:p>
      <w:pPr>
        <w:ind w:left="567"/>
      </w:pPr>
      <w:r>
        <w:rPr>
          <w:i/>
        </w:rPr>
        <w:t>- Bestellung eines vorübergehenden Chief Restructuring Officers (CRO) neben dem Geschäftsführer</w:t>
      </w:r>
    </w:p>
    <w:p>
      <w:pPr>
        <w:ind w:left="567"/>
      </w:pPr>
      <w:r>
        <w:rPr>
          <w:i/>
        </w:rPr>
        <w:t>- Mandatierung einer unabhängigen Sonderprüfung nach § 46 Nr. 6 GmbHG zur Klärung der Cap-Table-Diskrepanz</w:t>
      </w:r>
    </w:p>
    <w:p>
      <w:pPr>
        <w:ind w:left="567"/>
      </w:pPr>
      <w:r>
        <w:rPr>
          <w:i/>
        </w:rPr>
        <w:t>- Vorlagepflicht aller monatlichen Mittelverwendungsnachweise an die Mitgesellschafter direkt"</w:t>
      </w:r>
    </w:p>
    <w:p>
      <w:pPr>
        <w:pStyle w:val="Heading2"/>
      </w:pPr>
      <w:r>
        <w:rPr>
          <w:rFonts w:ascii="Times New Roman" w:hAnsi="Times New Roman"/>
        </w:rPr>
        <w:t>IV. Stimmrechtsverbot Bauernfeind</w:t>
      </w:r>
    </w:p>
    <w:p>
      <w:pPr>
        <w:ind w:left="567"/>
      </w:pPr>
      <w:r>
        <w:rPr>
          <w:i/>
        </w:rPr>
        <w:t>„Wir weisen ausdrücklich darauf hin, dass beim Abberufungsbeschluss nach § 47 Abs. 4 Satz 2 GmbHG ein Stimmrechtsverbot des Bauernfeind besteht (Richten in eigener Sache). Sollte Bauernfeind dennoch mitstimmen, wird die Anfechtbarkeit des Beschlusses ausdrücklich vorbehalten."</w:t>
      </w:r>
    </w:p>
    <w:p>
      <w:pPr>
        <w:pStyle w:val="Heading2"/>
      </w:pPr>
      <w:r>
        <w:rPr>
          <w:rFonts w:ascii="Times New Roman" w:hAnsi="Times New Roman"/>
        </w:rPr>
        <w:t>V. Hilfsweise — Verteidigung der Stimmbindungspool-Konstruktion</w:t>
      </w:r>
    </w:p>
    <w:p>
      <w:pPr>
        <w:ind w:left="567"/>
      </w:pPr>
      <w:r>
        <w:rPr>
          <w:i/>
        </w:rPr>
        <w:t xml:space="preserve">„Falls in der Versammlung eine Stimmbindung nach § 4 Konsortialvertrag vom 30.11.2025 (Akte 11) geltend gemacht werden sollte, hat meine Mandantin gemäß § 4 Abs. 6 Konsortialvertrag das ausdrückliche Recht, in </w:t>
      </w:r>
      <w:r>
        <w:rPr>
          <w:b/>
          <w:i/>
        </w:rPr>
        <w:t>Beschlussgegenständen über die Bestellung/Abberufung des Geschäftsführers ohne Bindung an den Pool</w:t>
      </w:r>
      <w:r>
        <w:rPr>
          <w:i/>
        </w:rPr>
        <w:t xml:space="preserve"> abzustimmen. Diese Ausnahme wird beansprucht."</w:t>
      </w:r>
    </w:p>
    <w:p>
      <w:pPr>
        <w:pStyle w:val="Heading2"/>
      </w:pPr>
      <w:r>
        <w:rPr>
          <w:rFonts w:ascii="Times New Roman" w:hAnsi="Times New Roman"/>
        </w:rPr>
        <w:t>Verkehrsanwalts-Notiz Pohlmann &amp; Pohlmann zu diesem Schreiben</w:t>
      </w:r>
    </w:p>
    <w:p>
      <w:pPr>
        <w:jc w:val="left"/>
      </w:pPr>
      <w:r>
        <w:t>Eingegangen 09.06.2026, 11:08 Uhr durch Sekretariat Bauernfeind, kopiert an RAin Hesselmann.</w:t>
      </w:r>
    </w:p>
    <w:p>
      <w:pPr>
        <w:jc w:val="left"/>
      </w:pPr>
      <w:r>
        <w:rPr>
          <w:b/>
        </w:rPr>
        <w:t>Erstbewertung Hesselmann:</w:t>
      </w:r>
    </w:p>
    <w:p>
      <w:pPr>
        <w:pStyle w:val="ListBullet"/>
      </w:pPr>
      <w:r>
        <w:t xml:space="preserve">Lindenthals Position ist </w:t>
      </w:r>
      <w:r>
        <w:rPr>
          <w:b/>
        </w:rPr>
        <w:t>konstruktiv-kritisch</w:t>
      </w:r>
      <w:r>
        <w:t xml:space="preserve">, nicht feindlich. CRO-Vorschlag der Lindenthal-Seite ist ein </w:t>
      </w:r>
      <w:r>
        <w:rPr>
          <w:b/>
        </w:rPr>
        <w:t>gangbarer Kompromiss</w:t>
      </w:r>
      <w:r>
        <w:t xml:space="preserve"> zur NordCap-Forderung „Garnatz als Vollberufungs-Interim-GF".</w:t>
      </w:r>
    </w:p>
    <w:p>
      <w:pPr>
        <w:pStyle w:val="ListBullet"/>
      </w:pPr>
      <w:r>
        <w:t xml:space="preserve">Cap-Table-V2-Frage ist </w:t>
      </w:r>
      <w:r>
        <w:rPr>
          <w:b/>
        </w:rPr>
        <w:t>unangenehm</w:t>
      </w:r>
      <w:r>
        <w:t>, aber Bauernfeind kann mit der Begründung „intern, vorläufig" zumindest die Schadensersatzfrage abwehren, sofern die V2-Linie nicht in der Außenkommunikation aufgetaucht ist. Klärungsbedarf: ist V2 jemals an Banken, Investoren, ILB ausgehändigt worden?</w:t>
      </w:r>
    </w:p>
    <w:p>
      <w:pPr>
        <w:pStyle w:val="ListBullet"/>
      </w:pPr>
      <w:r>
        <w:t xml:space="preserve">Anfechtungsdrohung Lindenthal nach § 51a GmbHG ist </w:t>
      </w:r>
      <w:r>
        <w:rPr>
          <w:b/>
        </w:rPr>
        <w:t>ernstzunehmen</w:t>
      </w:r>
      <w:r>
        <w:t xml:space="preserve"> — Bauernfeind sollte die Auskunft proaktiv geben, bevor ein Auskunftsbeschluss erzwungen wird.</w:t>
      </w:r>
    </w:p>
    <w:p>
      <w:pPr>
        <w:jc w:val="left"/>
      </w:pPr>
      <w:r>
        <w:rPr>
          <w:b/>
        </w:rPr>
        <w:t>Aufgaben Hesselmann/Pohlmann:</w:t>
      </w:r>
    </w:p>
    <w:p>
      <w:pPr>
        <w:pStyle w:val="ListNumber"/>
      </w:pPr>
      <w:r>
        <w:t>Innerhalb 7 Tagen: Audit Cap-Table V2 nach außen (Forensik der E-Mails, Investor Updates, ILB-Kommunikation)</w:t>
      </w:r>
    </w:p>
    <w:p>
      <w:pPr>
        <w:pStyle w:val="ListNumber"/>
      </w:pPr>
      <w:r>
        <w:t>Innerhalb 14 Tagen: Schriftliche Klarstellung an Lindenthal/Notar Albers, dass V2 nur intern war (falls Audit bestätigt)</w:t>
      </w:r>
    </w:p>
    <w:p>
      <w:pPr>
        <w:pStyle w:val="ListNumber"/>
      </w:pPr>
      <w:r>
        <w:t>CRO-Vorschlag aktiv prüfen — vorgeschlagener Kandidat: Dr. Hartmut Wendelin Schöneberger, ehemals Sanierungs-GF Q-Cells SE</w:t>
      </w:r>
    </w:p>
    <w:p>
      <w:pPr>
        <w:pStyle w:val="ListNumber"/>
      </w:pPr>
      <w:r>
        <w:t>Vergleich mit NordCap weiter vorbereiten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pStyle w:val="ListBullet"/>
      </w:pPr>
      <w:r>
        <w:t>Original Einschreiben RM 5117 9026 4 DE: Pohlmann &amp; Pohlmann</w:t>
      </w:r>
    </w:p>
    <w:p>
      <w:pPr>
        <w:pStyle w:val="ListBullet"/>
      </w:pPr>
      <w:r>
        <w:t>E-Mail-PDF: in Mandatsmail-Archiv</w:t>
      </w:r>
    </w:p>
    <w:p>
      <w:pPr>
        <w:pStyle w:val="ListBullet"/>
      </w:pPr>
      <w:r>
        <w:t>Notarprotest beglaubigte Abschrift Notar Albers: liegt notariell verwahrt UR 387/2025</w:t>
      </w:r>
    </w:p>
    <w:p>
      <w:pPr>
        <w:pStyle w:val="ListBullet"/>
      </w:pPr>
      <w:r>
        <w:t>Mandatsblatt Schweikart bei Lindenthal (Original): Schweikart Knabel und Partner</w:t>
      </w:r>
    </w:p>
    <w:p>
      <w:pPr>
        <w:pStyle w:val="Heading2"/>
      </w:pPr>
      <w:r>
        <w:rPr>
          <w:rFonts w:ascii="Times New Roman" w:hAnsi="Times New Roman"/>
        </w:rPr>
        <w:t>Normbezug</w:t>
      </w:r>
    </w:p>
    <w:p>
      <w:pPr>
        <w:pStyle w:val="ListBullet"/>
      </w:pPr>
      <w:r>
        <w:t>§ 51a GmbHG (Auskunftsrecht jedes Gesellschafters)</w:t>
      </w:r>
    </w:p>
    <w:p>
      <w:pPr>
        <w:pStyle w:val="ListBullet"/>
      </w:pPr>
      <w:r>
        <w:t>§ 46 Nr. 6 GmbHG (Sonderprüfung Geschäftsführung)</w:t>
      </w:r>
    </w:p>
    <w:p>
      <w:pPr>
        <w:pStyle w:val="ListBullet"/>
      </w:pPr>
      <w:r>
        <w:t>§ 47 Abs. 4 Satz 2 GmbHG (Stimmverbot eigene Sache)</w:t>
      </w:r>
    </w:p>
    <w:p>
      <w:pPr>
        <w:pStyle w:val="ListBullet"/>
      </w:pPr>
      <w:r>
        <w:t>§ 79 BNotO (Notarschutz analog für Cap-Table-Klarstellung)</w:t>
      </w:r>
    </w:p>
    <w:p>
      <w:pPr>
        <w:pStyle w:val="ListBullet"/>
      </w:pPr>
      <w:r>
        <w:t>§ 4 Abs. 6 Konsortialvertrag — Ausnahme Stimmbindung bei Geschäftsführerbestellung</w:t>
      </w:r>
    </w:p>
    <w:p>
      <w:pPr>
        <w:pStyle w:val="ListBullet"/>
      </w:pPr>
      <w:r>
        <w:t>BGH, II ZR 67/97 — Anfechtbarkeit Beschluss mit Stimmverbots-Verstoß</w:t>
      </w:r>
    </w:p>
    <w:p>
      <w:pPr>
        <w:pStyle w:val="ListBullet"/>
      </w:pPr>
      <w:r>
        <w:t>BGH, II ZR 256/11 — Reichweite § 51a GmbHG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Gesellschafterin LausitzStorage 200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Gesellschafterin LausitzStorage 200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 · Aktenzeichen Schweikart: SK-2026-0418/Lindenth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