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Einberufung außerordentliche Gesellschafterversammlung und Gegen-Stellungnahme Bauernfeind</w:t>
      </w:r>
    </w:p>
    <w:p>
      <w:pPr>
        <w:jc w:val="left"/>
      </w:pPr>
      <w:r>
        <w:rPr>
          <w:b/>
        </w:rPr>
        <w:t>Absender:</w:t>
      </w:r>
      <w:r>
        <w:t xml:space="preserve"> Karlheinz Bauernfeind als Geschäftsführer der LausitzStorage 200 GmbH</w:t>
      </w:r>
    </w:p>
    <w:p>
      <w:pPr>
        <w:jc w:val="left"/>
      </w:pPr>
      <w:r>
        <w:rPr>
          <w:b/>
        </w:rPr>
        <w:t>Adressaten:</w:t>
      </w:r>
      <w:r>
        <w:t xml:space="preserve"> alle Gesellschafter (NordCap, Lindenthal, Stadtwerke Cottbus); zur Information: Federfuchs Knöterich &amp; Partner (Security Agent), Notarin Dr. Albers, ILB, Pohlmann &amp; Pohlmann</w:t>
      </w:r>
    </w:p>
    <w:p>
      <w:pPr>
        <w:jc w:val="left"/>
      </w:pPr>
      <w:r>
        <w:rPr>
          <w:b/>
        </w:rPr>
        <w:t>Datum:</w:t>
      </w:r>
      <w:r>
        <w:t xml:space="preserve"> 12.06.2026</w:t>
      </w:r>
    </w:p>
    <w:p>
      <w:pPr>
        <w:jc w:val="left"/>
      </w:pPr>
      <w:r>
        <w:rPr>
          <w:b/>
        </w:rPr>
        <w:t>Versandweg:</w:t>
      </w:r>
      <w:r>
        <w:t xml:space="preserve"> Einwurf-Einschreiben an alle Gesellschafteranschriften (vier Sendungen, Aufgabe 12.06.2026 bei Post-Filiale 03046 Cottbus, Nachweise im Anhang); zusätzlich PDF-Anhang per E-Mail an alle Gesellschafter-Hauptadressen</w:t>
      </w:r>
    </w:p>
    <w:p>
      <w:pPr>
        <w:jc w:val="left"/>
      </w:pPr>
      <w:r>
        <w:rPr>
          <w:b/>
        </w:rPr>
        <w:t>Aktenzeichen:</w:t>
      </w:r>
      <w:r>
        <w:t xml:space="preserve"> GF-LausitzStorage-2026/0612-V1</w:t>
      </w:r>
    </w:p>
    <w:p>
      <w:pPr>
        <w:pStyle w:val="Heading2"/>
      </w:pPr>
      <w:r>
        <w:rPr>
          <w:rFonts w:ascii="Times New Roman" w:hAnsi="Times New Roman"/>
        </w:rPr>
        <w:t>I. Einberufung der Gesellschafterversammlung</w:t>
      </w:r>
    </w:p>
    <w:p>
      <w:pPr>
        <w:ind w:left="567"/>
      </w:pPr>
      <w:r>
        <w:rPr>
          <w:i/>
        </w:rPr>
        <w:t>„Sehr geehrte Damen und Herren,</w:t>
      </w:r>
    </w:p>
    <w:p>
      <w:pPr>
        <w:ind w:left="567"/>
      </w:pPr>
    </w:p>
    <w:p>
      <w:pPr>
        <w:ind w:left="567"/>
      </w:pPr>
      <w:r>
        <w:rPr>
          <w:i/>
        </w:rPr>
        <w:t>als alleinvertretungsberechtigter Geschäftsführer der LausitzStorage 200 GmbH lade ich hiermit zu einer außerordentlichen Gesellschafterversammlung ein. Die Einberufung erfolgt aufgrund des Verlangens der NordCap Infrastructure Fund SCS vom 30.05.2026 (§ 50 Abs. 1 GmbHG) — fristgerecht binnen vier Wochen nach Zugang am 02.06.2026.</w:t>
      </w:r>
    </w:p>
    <w:p>
      <w:pPr>
        <w:ind w:left="567"/>
      </w:pPr>
    </w:p>
    <w:p>
      <w:pPr>
        <w:ind w:left="567"/>
      </w:pPr>
      <w:r>
        <w:rPr>
          <w:i/>
        </w:rPr>
        <w:t xml:space="preserve">Versammlungstag: </w:t>
      </w:r>
      <w:r>
        <w:rPr>
          <w:b/>
          <w:i/>
        </w:rPr>
        <w:t>Mittwoch, 24.06.2026, 10:00 Uhr</w:t>
      </w:r>
    </w:p>
    <w:p>
      <w:pPr>
        <w:ind w:left="567"/>
      </w:pPr>
      <w:r>
        <w:rPr>
          <w:i/>
        </w:rPr>
        <w:t>Versammlungsort: Räume Notarbüro Dr. Albers, Kurfürstendamm 187, 10707 Berlin</w:t>
      </w:r>
    </w:p>
    <w:p>
      <w:pPr>
        <w:ind w:left="567"/>
      </w:pPr>
      <w:r>
        <w:rPr>
          <w:i/>
        </w:rPr>
        <w:t>Versammlungsleitung: Notarin Dr. Albers (auf gemeinsamen Vorschlag aller Gesellschafter)</w:t>
      </w:r>
    </w:p>
    <w:p>
      <w:pPr>
        <w:ind w:left="567"/>
      </w:pPr>
      <w:r>
        <w:rPr>
          <w:i/>
        </w:rPr>
        <w:t>Beurkundung: ja, durch Notarin Albers (UR-Nr. vorab reserviert: 423/2026)</w:t>
      </w:r>
    </w:p>
    <w:p>
      <w:pPr>
        <w:ind w:left="567"/>
      </w:pPr>
    </w:p>
    <w:p>
      <w:pPr>
        <w:ind w:left="567"/>
      </w:pPr>
      <w:r>
        <w:rPr>
          <w:i/>
        </w:rPr>
        <w:t>Es gelten die Ladungsfristen nach § 51 GmbHG iVm § 12 der Satzung (mindestens zwei Wochen). Die Frist ist gewahrt."</w:t>
      </w:r>
    </w:p>
    <w:p>
      <w:pPr>
        <w:pStyle w:val="Heading2"/>
      </w:pPr>
      <w:r>
        <w:rPr>
          <w:rFonts w:ascii="Times New Roman" w:hAnsi="Times New Roman"/>
        </w:rPr>
        <w:t>II. Tagesordnung (in Übernahme des NordCap-Verlangens, ergänzt um Gegen-Anträge)</w:t>
      </w:r>
    </w:p>
    <w:p>
      <w:pPr>
        <w:pStyle w:val="ListNumber"/>
      </w:pPr>
      <w:r>
        <w:t xml:space="preserve">Bericht der Geschäftsführung zu Stand und Ursachen des Drawstops NordCap vom 22.05.2026 — Bericht durch Bauernfeind, </w:t>
      </w:r>
      <w:r>
        <w:rPr>
          <w:b/>
        </w:rPr>
        <w:t>Vortrag und schriftliche Vorlage</w:t>
      </w:r>
      <w:r>
        <w:t xml:space="preserve"> in Anlage 1 zu diesem Schreiben.</w:t>
      </w:r>
    </w:p>
    <w:p>
      <w:pPr>
        <w:pStyle w:val="ListNumber"/>
      </w:pPr>
      <w:r>
        <w:rPr>
          <w:b/>
        </w:rPr>
        <w:t>Antrag NordCap:</w:t>
      </w:r>
      <w:r>
        <w:t xml:space="preserve"> Abberufung Bauernfeind aus wichtigem Grund (§ 38 Abs. 2 GmbHG)</w:t>
      </w:r>
    </w:p>
    <w:p>
      <w:pPr>
        <w:pStyle w:val="ListNumber"/>
      </w:pPr>
      <w:r>
        <w:rPr>
          <w:b/>
        </w:rPr>
        <w:t>Antrag NordCap:</w:t>
      </w:r>
      <w:r>
        <w:t xml:space="preserve"> Bestellung Dr. Friedrich Wilhelm Garnatz als Interim-Geschäftsführer</w:t>
      </w:r>
    </w:p>
    <w:p>
      <w:pPr>
        <w:pStyle w:val="ListNumber"/>
      </w:pPr>
      <w:r>
        <w:rPr>
          <w:b/>
        </w:rPr>
        <w:t>Antrag NordCap:</w:t>
      </w:r>
      <w:r>
        <w:t xml:space="preserve"> Mandatierung Roland Berger / Dr. Erlinghagen als Restrukturierungsberater</w:t>
      </w:r>
    </w:p>
    <w:p>
      <w:pPr>
        <w:pStyle w:val="ListNumber"/>
      </w:pPr>
      <w:r>
        <w:rPr>
          <w:b/>
        </w:rPr>
        <w:t>Antrag NordCap:</w:t>
      </w:r>
      <w:r>
        <w:t xml:space="preserve"> Vorbereitung Kapitalerhöhung gegen Sacheinlage (Wandlung Wandeldarlehen NordCap)</w:t>
      </w:r>
    </w:p>
    <w:p>
      <w:pPr>
        <w:pStyle w:val="ListNumber"/>
      </w:pPr>
      <w:r>
        <w:rPr>
          <w:b/>
        </w:rPr>
        <w:t>Gegenantrag Bauernfeind:</w:t>
      </w:r>
      <w:r>
        <w:t xml:space="preserve"> Bestätigung der Geschäftsführung Bauernfeind unter Erweiterung des Beirats — keine Abberufung</w:t>
      </w:r>
    </w:p>
    <w:p>
      <w:pPr>
        <w:pStyle w:val="ListNumber"/>
      </w:pPr>
      <w:r>
        <w:rPr>
          <w:b/>
        </w:rPr>
        <w:t>Gegenantrag Bauernfeind:</w:t>
      </w:r>
      <w:r>
        <w:t xml:space="preserve"> Mandatierung CRO Dr. Hartmut Wendelin Schöneberger neben Bauernfeind (befristet 6 Monate, mit Vetorecht für Investitionen über 500.000 EUR; Vorschlag im Konsens mit Lindenthal/Stadtwerken zu finalisieren)</w:t>
      </w:r>
    </w:p>
    <w:p>
      <w:pPr>
        <w:pStyle w:val="ListNumber"/>
      </w:pPr>
      <w:r>
        <w:rPr>
          <w:b/>
        </w:rPr>
        <w:t>Eigenantrag Lindenthal (angekündigt):</w:t>
      </w:r>
      <w:r>
        <w:t xml:space="preserve"> Sonderprüfung der Cap-Table-Führung nach § 46 Nr. 6 GmbHG</w:t>
      </w:r>
    </w:p>
    <w:p>
      <w:pPr>
        <w:pStyle w:val="ListNumber"/>
      </w:pPr>
      <w:r>
        <w:rPr>
          <w:b/>
        </w:rPr>
        <w:t>Eigenantrag Lindenthal (angekündigt):</w:t>
      </w:r>
      <w:r>
        <w:t xml:space="preserve"> Direkte monatliche Vorlagepflicht der Mittelverwendungsnachweise an alle Gesellschafter</w:t>
      </w:r>
    </w:p>
    <w:p>
      <w:pPr>
        <w:pStyle w:val="ListNumber"/>
      </w:pPr>
      <w:r>
        <w:rPr>
          <w:b/>
        </w:rPr>
        <w:t>Antrag Bauernfeind:</w:t>
      </w:r>
      <w:r>
        <w:t xml:space="preserve"> Beschluss zur Reparaturvereinbarung Wandeldarlehen vom 04.06.2026 (Akte 22) — Genehmigung des Side-Letters</w:t>
      </w:r>
    </w:p>
    <w:p>
      <w:pPr>
        <w:pStyle w:val="Heading2"/>
      </w:pPr>
      <w:r>
        <w:rPr>
          <w:rFonts w:ascii="Times New Roman" w:hAnsi="Times New Roman"/>
        </w:rPr>
        <w:t>III. Gegen-Stellungnahme Bauernfeind zu den Vorwürfen NordCap (Anlage 1)</w:t>
      </w:r>
    </w:p>
    <w:p>
      <w:pPr>
        <w:ind w:left="567"/>
      </w:pPr>
      <w:r>
        <w:rPr>
          <w:i/>
        </w:rPr>
        <w:t>„Im Folgenden nehme ich zu den fünf von NordCap vorgetragenen Abberufungsgründen sachlich Stellung:</w:t>
      </w:r>
    </w:p>
    <w:p>
      <w:pPr>
        <w:ind w:left="567"/>
      </w:pPr>
    </w:p>
    <w:p>
      <w:pPr>
        <w:ind w:left="567"/>
      </w:pPr>
      <w:r>
        <w:rPr>
          <w:b/>
          <w:i/>
        </w:rPr>
        <w:t>Zu 1 — Documentation Gap NordCap-Tranche 2 (CPs):</w:t>
      </w:r>
    </w:p>
    <w:p>
      <w:pPr>
        <w:ind w:left="567"/>
      </w:pPr>
      <w:r>
        <w:rPr>
          <w:i/>
        </w:rPr>
        <w:t>Drei der fünf Punkte sind unbestritten heilungsbedürftig (Anlage 4 Stadtwerke, Einzelaval 50Hertz, Datums-Diskrepanz Wandeldarlehen). Sämtliche Punkte sind eingeleitet (Akten 21, 14, 22). Punkt 1 — Hauptbescheid statt Vorbescheid — ist von der CP-Liste § 6 Abs. 2 ausdrücklich nicht erfasst; NordCap stützt sich insoweit auf die MAC-Klausel, was eine zweifelhafte Auslegung darstellt. Punkt 5 — Genehmigungsregime LEAG — ist durch Klarstellungsschreiben vom 04.06.2026 (Akte 32) geheilt.</w:t>
      </w:r>
    </w:p>
    <w:p>
      <w:pPr>
        <w:ind w:left="567"/>
      </w:pPr>
    </w:p>
    <w:p>
      <w:pPr>
        <w:ind w:left="567"/>
      </w:pPr>
      <w:r>
        <w:rPr>
          <w:i/>
        </w:rPr>
        <w:t>Insgesamt: keine Verschleppung, sondern aktive Bearbeitung. Die Vorwürfe sind sachlich überzogen.</w:t>
      </w:r>
    </w:p>
    <w:p>
      <w:pPr>
        <w:ind w:left="567"/>
      </w:pPr>
    </w:p>
    <w:p>
      <w:pPr>
        <w:ind w:left="567"/>
      </w:pPr>
      <w:r>
        <w:rPr>
          <w:b/>
          <w:i/>
        </w:rPr>
        <w:t>Zu 2 — Cap-Table-V2:</w:t>
      </w:r>
    </w:p>
    <w:p>
      <w:pPr>
        <w:ind w:left="567"/>
      </w:pPr>
      <w:r>
        <w:rPr>
          <w:i/>
        </w:rPr>
        <w:t xml:space="preserve">Die Cap-Table-V2 wurde </w:t>
      </w:r>
      <w:r>
        <w:rPr>
          <w:b/>
          <w:i/>
        </w:rPr>
        <w:t>ausschließlich intern</w:t>
      </w:r>
      <w:r>
        <w:rPr>
          <w:i/>
        </w:rPr>
        <w:t xml:space="preserve"> in der Geschäftsführungs-Excel-Datei </w:t>
      </w:r>
      <w:r>
        <w:rPr>
          <w:i/>
        </w:rPr>
        <w:t>cap_table_aktuell.xlsx</w:t>
      </w:r>
      <w:r>
        <w:rPr>
          <w:i/>
        </w:rPr>
        <w:t xml:space="preserve"> (Pfad: NAS\GF\Beteiligung) geführt. Sie wurde </w:t>
      </w:r>
      <w:r>
        <w:rPr>
          <w:b/>
          <w:i/>
        </w:rPr>
        <w:t>niemals</w:t>
      </w:r>
      <w:r>
        <w:rPr>
          <w:i/>
        </w:rPr>
        <w:t xml:space="preserve"> in Investorenkommunikation, Bankenkommunikation, ILB-Antrag oder Notar-Schriftwechsel verwendet. Hentschel hat sie für die Bilanz nicht herangezogen. Die V2-Linie spiegelt die in NordCap-Mail vom 02.03.2026 angedeutete Teilwandlung Tranche 1 (siehe Akte 17), die nach NordCap-eigener Aussage seinerzeit „geprüft" wurde. Die V2-Führung war </w:t>
      </w:r>
      <w:r>
        <w:rPr>
          <w:b/>
          <w:i/>
        </w:rPr>
        <w:t>eine Antizipation, keine Manipulation</w:t>
      </w:r>
      <w:r>
        <w:rPr>
          <w:i/>
        </w:rPr>
        <w:t>. Ich entschuldige mich gegenüber den Mitgesellschaftern dafür, dass diese Vorschau ohne ausdrücklichen Hinweis als „intern" in der Cap-Table-Sammlung lag. Eine Bereinigung erfolgte unmittelbar nach Zugang des Anwaltsschreibens Lindenthal (Akte 39) am 09.06.2026 — Bestätigung in Anlage 2 zu dieser Stellungnahme.</w:t>
      </w:r>
    </w:p>
    <w:p>
      <w:pPr>
        <w:ind w:left="567"/>
      </w:pPr>
    </w:p>
    <w:p>
      <w:pPr>
        <w:ind w:left="567"/>
      </w:pPr>
      <w:r>
        <w:rPr>
          <w:b/>
          <w:i/>
        </w:rPr>
        <w:t>Zu 3 — Wandeldarlehens-Reparatur:</w:t>
      </w:r>
    </w:p>
    <w:p>
      <w:pPr>
        <w:ind w:left="567"/>
      </w:pPr>
      <w:r>
        <w:rPr>
          <w:i/>
        </w:rPr>
        <w:t>Der NordCap-Compliance-Vermerk vom 12.12.2025 ist mir bekannt. Die Reparatur wurde im Januar 2026 in Auftrag gegeben (Pohlmann &amp; Pohlmann), durch parallele Akteninspektion bezüglich der NordCap-CPs zurückgestellt und ist seit 04.06.2026 unterschriftsreif (Akte 22). Eine fünfeinhalbmonatige Verzögerung ist nicht ideal, aber bei Reparaturvereinbarungen ohne wirtschaftliche Auswirkung auf das Tagesgeschäft auch nicht abberufungsbegründend. Die Reparatur ist materiell unstreitig.</w:t>
      </w:r>
    </w:p>
    <w:p>
      <w:pPr>
        <w:ind w:left="567"/>
      </w:pPr>
    </w:p>
    <w:p>
      <w:pPr>
        <w:ind w:left="567"/>
      </w:pPr>
      <w:r>
        <w:rPr>
          <w:b/>
          <w:i/>
        </w:rPr>
        <w:t>Zu 4 — Genehmigungsregime LEAG:</w:t>
      </w:r>
    </w:p>
    <w:p>
      <w:pPr>
        <w:ind w:left="567"/>
      </w:pPr>
      <w:r>
        <w:rPr>
          <w:i/>
        </w:rPr>
        <w:t>Der 2. Nachtrag (Akte 05) wurde in der E-Mail vom 19.05.2026 (Akte 19, E-Mail 4) ausdrücklich genannt. Eine frühere Klarstellung wäre möglich gewesen, war aber durch parallele Drawstop-Bearbeitung verzögert. Eine systematische Klarstellung ist mit dem Schreiben vom 04.06.2026 (Akte 32) erfolgt.</w:t>
      </w:r>
    </w:p>
    <w:p>
      <w:pPr>
        <w:ind w:left="567"/>
      </w:pPr>
    </w:p>
    <w:p>
      <w:pPr>
        <w:ind w:left="567"/>
      </w:pPr>
      <w:r>
        <w:rPr>
          <w:b/>
          <w:i/>
        </w:rPr>
        <w:t>Zu 5 — Berichtspflichten LEAG:</w:t>
      </w:r>
    </w:p>
    <w:p>
      <w:pPr>
        <w:ind w:left="567"/>
      </w:pPr>
      <w:r>
        <w:rPr>
          <w:i/>
        </w:rPr>
        <w:t>Die Verspätung Februar-April 2026 ist unbestritten und im Ergebnis ärgerlich. Sie ist auf Personalwechsel in der Projektleitung (Ausscheiden Frau Antonia Kuhlmann 31.01.2026, Neubesetzung Herr Michael Wendt zum 15.03.2026) zurückzuführen. Maßnahmen zur Wiederherstellung der Monatsberichts-Routine sind eingeleitet (interne Compliance-Note vom 25.04.2026).</w:t>
      </w:r>
    </w:p>
    <w:p>
      <w:pPr>
        <w:ind w:left="567"/>
      </w:pPr>
    </w:p>
    <w:p>
      <w:pPr>
        <w:ind w:left="567"/>
      </w:pPr>
      <w:r>
        <w:rPr>
          <w:b/>
          <w:i/>
        </w:rPr>
        <w:t>Gesamtbewertung:</w:t>
      </w:r>
      <w:r>
        <w:rPr>
          <w:i/>
        </w:rPr>
        <w:t xml:space="preserve"> Ich räume Versäumnisse bei den Punkten 2 (V2-Buchführung intern), 3 (Tempo Reparatur) und 5 (Berichtsausfall LEAG) ein. Diese Versäumnisse rechtfertigen Beirats-Maßnahmen, CRO-Bestellung und Vorlagepflicht, aber keine Abberufung. Ich bitte die Gesellschafter, dem konsensualen Antrag 7 statt dem Abberufungsantrag zuzustimmen."</w:t>
      </w:r>
    </w:p>
    <w:p>
      <w:pPr>
        <w:pStyle w:val="Heading2"/>
      </w:pPr>
      <w:r>
        <w:rPr>
          <w:rFonts w:ascii="Times New Roman" w:hAnsi="Times New Roman"/>
        </w:rPr>
        <w:t>IV. Anlagen</w:t>
      </w:r>
    </w:p>
    <w:p>
      <w:pPr>
        <w:pStyle w:val="ListBullet"/>
      </w:pPr>
      <w:r>
        <w:t>Anlage 1: Drei-Seiten-Stellungnahme Bauernfeind zu den NordCap-Vorwürfen (siehe oben unter III)</w:t>
      </w:r>
    </w:p>
    <w:p>
      <w:pPr>
        <w:pStyle w:val="ListBullet"/>
      </w:pPr>
      <w:r>
        <w:t>Anlage 2: Bereinigungsprotokoll Cap-Table V2 (Bestätigung Sekretariat Pawlowski, dass die V2-Linie aus allen Geschäftsführungssystemen entfernt wurde, Datum 11.06.2026)</w:t>
      </w:r>
    </w:p>
    <w:p>
      <w:pPr>
        <w:pStyle w:val="ListBullet"/>
      </w:pPr>
      <w:r>
        <w:t xml:space="preserve">Anlage 3: Forensik-Bericht Inkubator-IT Cottbus GmbH (externer IT-Dienstleister) zu Außenkommunikation der V2-Linie: </w:t>
      </w:r>
      <w:r>
        <w:rPr>
          <w:b/>
        </w:rPr>
        <w:t>kein Versand der V2-Linie an externe Empfänger festgestellt</w:t>
      </w:r>
      <w:r>
        <w:t xml:space="preserve"> (durchsucht: 18.247 Mailpostfacher Geschäftsführung 01.02.2026 – 09.06.2026)</w:t>
      </w:r>
    </w:p>
    <w:p>
      <w:pPr>
        <w:pStyle w:val="ListBullet"/>
      </w:pPr>
      <w:r>
        <w:t>Anlage 4: Lebenslauf und Verfügbarkeitsbestätigung Dr. Schöneberger (CRO-Vorschlag)</w:t>
      </w:r>
    </w:p>
    <w:p>
      <w:pPr>
        <w:pStyle w:val="ListBullet"/>
      </w:pPr>
      <w:r>
        <w:t>Anlage 5: Entwurf Reparaturvereinbarung Wandeldarlehen (Akte 22)</w:t>
      </w:r>
    </w:p>
    <w:p>
      <w:pPr>
        <w:pStyle w:val="ListBullet"/>
      </w:pPr>
      <w:r>
        <w:t>Anlage 6: Mittelverwendungsnachweis Tranche 2 NordCap (vollständig, transparent, monatsgenau für den Zeitraum 17.10.2025 – 31.05.2026)</w:t>
      </w:r>
    </w:p>
    <w:p>
      <w:pPr>
        <w:pStyle w:val="ListBullet"/>
      </w:pPr>
      <w:r>
        <w:t>Anlage 7: Postnachweise Einwurf-Einschreiben (vier Belege)</w:t>
      </w:r>
    </w:p>
    <w:p>
      <w:pPr>
        <w:pStyle w:val="Heading2"/>
      </w:pPr>
      <w:r>
        <w:rPr>
          <w:rFonts w:ascii="Times New Roman" w:hAnsi="Times New Roman"/>
        </w:rPr>
        <w:t>V. Hinweis auf Stimmverbot</w:t>
      </w:r>
    </w:p>
    <w:p>
      <w:pPr>
        <w:ind w:left="567"/>
      </w:pPr>
      <w:r>
        <w:rPr>
          <w:i/>
        </w:rPr>
        <w:t>„Ich weise als Geschäftsführer darauf hin, dass ich als Gesellschafter mit 51 % Beteiligung beim Abberufungsbeschluss (Tagesordnungspunkt 2) gemäß § 47 Abs. 4 Satz 2 GmbHG nicht stimmberechtigt sein werde. Ich werde mich an dieser Abstimmung nicht beteiligen. Bei allen anderen Tagesordnungspunkten — einschließlich der Bestellung eines Interim-Geschäftsführers (Punkt 3) und des CRO-Antrags (Punkt 7) — werde ich von meinem Stimmrecht Gebrauch machen, da diese Beschlüsse nicht den Charakter eines Richtens in eigener Sache haben."</w:t>
      </w:r>
    </w:p>
    <w:p>
      <w:pPr>
        <w:pStyle w:val="Heading2"/>
      </w:pPr>
      <w:r>
        <w:rPr>
          <w:rFonts w:ascii="Times New Roman" w:hAnsi="Times New Roman"/>
        </w:rPr>
        <w:t>VI. Schlussbemerkungen</w:t>
      </w:r>
    </w:p>
    <w:p>
      <w:pPr>
        <w:ind w:left="567"/>
      </w:pPr>
      <w:r>
        <w:rPr>
          <w:i/>
        </w:rPr>
        <w:t>„Ich bedaure die durch die Drawstop-Krise und die Cap-Table-V2-Vorschau entstandene Belastung des Vertrauensverhältnisses. Ich bin überzeugt, dass die Gesellschaft mit den vorgeschlagenen konsensualen Maßnahmen (CRO, Vorlagepflicht, Sonderprüfung) deutlich besser dasteht als bei einer Abberufung mitten in der Drawstop-Verhandlung. Ich bitte um eine sachliche Versammlung."</w:t>
      </w:r>
    </w:p>
    <w:p>
      <w:pPr>
        <w:pStyle w:val="Heading2"/>
      </w:pPr>
      <w:r>
        <w:rPr>
          <w:rFonts w:ascii="Times New Roman" w:hAnsi="Times New Roman"/>
        </w:rPr>
        <w:t>Aktenlage</w:t>
      </w:r>
    </w:p>
    <w:p>
      <w:pPr>
        <w:pStyle w:val="ListBullet"/>
      </w:pPr>
      <w:r>
        <w:t>Original Einladung mit Postnachweis: bei LausitzStorage und in Verkehrsakte Pohlmann &amp; Pohlmann</w:t>
      </w:r>
    </w:p>
    <w:p>
      <w:pPr>
        <w:pStyle w:val="ListBullet"/>
      </w:pPr>
      <w:r>
        <w:t>Beglaubigte Abschriften an alle Gesellschafter: in den Akten der jeweiligen Empfänger</w:t>
      </w:r>
    </w:p>
    <w:p>
      <w:pPr>
        <w:pStyle w:val="ListBullet"/>
      </w:pPr>
      <w:r>
        <w:t>Notarin Albers: hat Versammlungsleitung angenommen mit Schreiben vom 14.06.2026, UR-Nr. 423/2026 reserviert</w:t>
      </w:r>
    </w:p>
    <w:p>
      <w:pPr>
        <w:pStyle w:val="ListBullet"/>
      </w:pPr>
      <w:r>
        <w:t>Versammlungsdokumentation (Beschlussfassung, Protokoll, Stimmenverhältnisse): wird bei Notar als gesonderte Aktenstücke geführt</w:t>
      </w:r>
    </w:p>
    <w:p>
      <w:pPr>
        <w:pStyle w:val="Heading2"/>
      </w:pPr>
      <w:r>
        <w:rPr>
          <w:rFonts w:ascii="Times New Roman" w:hAnsi="Times New Roman"/>
        </w:rPr>
        <w:t>Normbezug</w:t>
      </w:r>
    </w:p>
    <w:p>
      <w:pPr>
        <w:pStyle w:val="ListBullet"/>
      </w:pPr>
      <w:r>
        <w:t>§ 49 Abs. 1 GmbHG (Einberufungspflicht Geschäftsführer)</w:t>
      </w:r>
    </w:p>
    <w:p>
      <w:pPr>
        <w:pStyle w:val="ListBullet"/>
      </w:pPr>
      <w:r>
        <w:t>§ 50 Abs. 1, 3 GmbHG (Minderheitsverlangen, Selbsteinberufung)</w:t>
      </w:r>
    </w:p>
    <w:p>
      <w:pPr>
        <w:pStyle w:val="ListBullet"/>
      </w:pPr>
      <w:r>
        <w:t>§ 51 GmbHG (Form und Frist der Einberufung — 2 Wochen)</w:t>
      </w:r>
    </w:p>
    <w:p>
      <w:pPr>
        <w:pStyle w:val="ListBullet"/>
      </w:pPr>
      <w:r>
        <w:t>§ 47 Abs. 4 Satz 2 GmbHG (Stimmverbot eigene Sache)</w:t>
      </w:r>
    </w:p>
    <w:p>
      <w:pPr>
        <w:pStyle w:val="ListBullet"/>
      </w:pPr>
      <w:r>
        <w:t>§ 43 Abs. 1 GmbHG (Geschäftsführungssorgfalt — Streitpunkt)</w:t>
      </w:r>
    </w:p>
    <w:p>
      <w:pPr>
        <w:pStyle w:val="ListBullet"/>
      </w:pPr>
      <w:r>
        <w:t>§ 12 der Satzung LausitzStorage</w:t>
      </w:r>
    </w:p>
    <w:p>
      <w:pPr>
        <w:pStyle w:val="ListBullet"/>
      </w:pPr>
      <w:r>
        <w:t>BGH, II ZR 87/15 — Wirksamkeit der Einberufung trotz Verfahrensmängeln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LausitzStorage 200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LausitzStorage 200 GmbH</w:t>
    </w:r>
  </w:p>
  <w:p>
    <w:pPr>
      <w:jc w:val="left"/>
      <w:pBdr>
        <w:bottom w:val="single" w:sz="6" w:space="2" w:color="1F3864"/>
      </w:pBdr>
    </w:pPr>
    <w:r>
      <w:rPr>
        <w:rFonts w:ascii="Times New Roman" w:hAnsi="Times New Roman"/>
        <w:color w:val="6B6B66"/>
        <w:sz w:val="16"/>
      </w:rPr>
      <w:t>Unternehmen · Aktenzeichen: GF-LausitzStorage-2026/0612-V1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