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EPC-Anzahlungsrechnung Sungrow Deutschland — 18 Mio EUR aus Tranche 2</w:t>
      </w:r>
    </w:p>
    <w:p>
      <w:pPr>
        <w:jc w:val="left"/>
      </w:pPr>
      <w:r>
        <w:rPr>
          <w:b/>
        </w:rPr>
        <w:t>Rechnungssteller:</w:t>
      </w:r>
      <w:r>
        <w:t xml:space="preserve"> Sungrow Deutschland GmbH, Balanstraße 59, 81541 München, HRB 197841 München</w:t>
      </w:r>
    </w:p>
    <w:p>
      <w:pPr>
        <w:jc w:val="left"/>
      </w:pPr>
      <w:r>
        <w:rPr>
          <w:b/>
        </w:rPr>
        <w:t>Vertretung:</w:t>
      </w:r>
      <w:r>
        <w:t xml:space="preserve"> Wenkang Zhao (Vorsitzender Geschäftsführung), Dr. Annika Pohlhammer (Kaufmännische Geschäftsführerin)</w:t>
      </w:r>
    </w:p>
    <w:p>
      <w:pPr>
        <w:jc w:val="left"/>
      </w:pPr>
      <w:r>
        <w:rPr>
          <w:b/>
        </w:rPr>
        <w:t>USt-IdNr.:</w:t>
      </w:r>
      <w:r>
        <w:t xml:space="preserve"> DE298174536</w:t>
      </w:r>
    </w:p>
    <w:p>
      <w:pPr>
        <w:jc w:val="left"/>
      </w:pPr>
      <w:r>
        <w:rPr>
          <w:b/>
        </w:rPr>
        <w:t>Rechnungsnummer:</w:t>
      </w:r>
      <w:r>
        <w:t xml:space="preserve"> SDE-2025-09-LSS200-A1</w:t>
      </w:r>
    </w:p>
    <w:p>
      <w:pPr>
        <w:jc w:val="left"/>
      </w:pPr>
      <w:r>
        <w:rPr>
          <w:b/>
        </w:rPr>
        <w:t>Rechnungsdatum:</w:t>
      </w:r>
      <w:r>
        <w:t xml:space="preserve"> 18.09.2025</w:t>
      </w:r>
    </w:p>
    <w:p>
      <w:pPr>
        <w:jc w:val="left"/>
      </w:pPr>
      <w:r>
        <w:rPr>
          <w:b/>
        </w:rPr>
        <w:t>Leistungsdatum:</w:t>
      </w:r>
      <w:r>
        <w:t xml:space="preserve"> Anzahlung gemäß § 4 Abs. 2 EPC-Vertrag vom 30.07.2025</w:t>
      </w:r>
    </w:p>
    <w:p>
      <w:pPr>
        <w:jc w:val="left"/>
      </w:pPr>
      <w:r>
        <w:rPr>
          <w:b/>
        </w:rPr>
        <w:t>Rechnungsempfängerin:</w:t>
      </w:r>
      <w:r>
        <w:t xml:space="preserve"> LausitzStorage 200 GmbH i.G., Spremberger Straße 47, 03046 Cottbus</w:t>
      </w:r>
    </w:p>
    <w:p>
      <w:pPr>
        <w:pStyle w:val="Heading2"/>
      </w:pPr>
      <w:r>
        <w:rPr>
          <w:rFonts w:ascii="Times New Roman" w:hAnsi="Times New Roman"/>
        </w:rPr>
        <w:t>Bezugnahme</w:t>
      </w:r>
    </w:p>
    <w:p>
      <w:pPr>
        <w:jc w:val="left"/>
      </w:pPr>
      <w:r>
        <w:t>Rechnung zur Anzahlung gemäß Anlage 7 zum EPC-Vertrag „Battery Energy Storage System Jänschwalde-Peitz, 200 MW / 800 MWh" (EPC-Vertrag-Aktenzeichen SDE-LSS-EPC-2025-001 vom 30.07.2025; im Vertragsregister Pohlmann &amp; Pohlmann als Akte AltExterneVorgangsnummer EPC-Sungrow-1 geführt; nicht eigenständig im Akten-Index dieser Akte).</w:t>
      </w:r>
    </w:p>
    <w:p>
      <w:pPr>
        <w:pStyle w:val="Heading2"/>
      </w:pPr>
      <w:r>
        <w:rPr>
          <w:rFonts w:ascii="Times New Roman" w:hAnsi="Times New Roman"/>
        </w:rPr>
        <w:t>Rechnungspositionen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w:t>
            </w:r>
          </w:p>
        </w:tc>
        <w:tc>
          <w:tcPr>
            <w:tcW w:type="dxa" w:w="1814"/>
          </w:tcPr>
          <w:p>
            <w:r>
              <w:rPr>
                <w:rFonts w:ascii="Times New Roman" w:hAnsi="Times New Roman"/>
                <w:b/>
                <w:sz w:val="20"/>
              </w:rPr>
              <w:t>Leistung</w:t>
            </w:r>
          </w:p>
        </w:tc>
        <w:tc>
          <w:tcPr>
            <w:tcW w:type="dxa" w:w="1814"/>
          </w:tcPr>
          <w:p>
            <w:r>
              <w:rPr>
                <w:rFonts w:ascii="Times New Roman" w:hAnsi="Times New Roman"/>
                <w:b/>
                <w:sz w:val="20"/>
              </w:rPr>
              <w:t>Menge</w:t>
            </w:r>
          </w:p>
        </w:tc>
        <w:tc>
          <w:tcPr>
            <w:tcW w:type="dxa" w:w="1814"/>
          </w:tcPr>
          <w:p>
            <w:r>
              <w:rPr>
                <w:rFonts w:ascii="Times New Roman" w:hAnsi="Times New Roman"/>
                <w:b/>
                <w:sz w:val="20"/>
              </w:rPr>
              <w:t>Einzelpreis netto</w:t>
            </w:r>
          </w:p>
        </w:tc>
        <w:tc>
          <w:tcPr>
            <w:tcW w:type="dxa" w:w="1814"/>
          </w:tcPr>
          <w:p>
            <w:r>
              <w:rPr>
                <w:rFonts w:ascii="Times New Roman" w:hAnsi="Times New Roman"/>
                <w:b/>
                <w:sz w:val="20"/>
              </w:rPr>
              <w:t>Gesamt netto</w:t>
            </w:r>
          </w:p>
        </w:tc>
      </w:tr>
      <w:tr>
        <w:tc>
          <w:tcPr>
            <w:tcW w:type="dxa" w:w="1814"/>
          </w:tcPr>
          <w:p>
            <w:r>
              <w:rPr>
                <w:rFonts w:ascii="Times New Roman" w:hAnsi="Times New Roman"/>
                <w:sz w:val="20"/>
              </w:rPr>
              <w:t>1</w:t>
            </w:r>
          </w:p>
        </w:tc>
        <w:tc>
          <w:tcPr>
            <w:tcW w:type="dxa" w:w="1814"/>
          </w:tcPr>
          <w:p>
            <w:r>
              <w:rPr>
                <w:rFonts w:ascii="Times New Roman" w:hAnsi="Times New Roman"/>
                <w:sz w:val="20"/>
              </w:rPr>
              <w:t>Anzahlung Phase 1 Konstruktion und Materialdisposition (Module/Zellen, Wechselrichter, Steuerung, Bauplanung)</w:t>
            </w:r>
          </w:p>
        </w:tc>
        <w:tc>
          <w:tcPr>
            <w:tcW w:type="dxa" w:w="1814"/>
          </w:tcPr>
          <w:p>
            <w:r>
              <w:rPr>
                <w:rFonts w:ascii="Times New Roman" w:hAnsi="Times New Roman"/>
                <w:sz w:val="20"/>
              </w:rPr>
              <w:t>pauschal</w:t>
            </w:r>
          </w:p>
        </w:tc>
        <w:tc>
          <w:tcPr>
            <w:tcW w:type="dxa" w:w="1814"/>
          </w:tcPr>
          <w:p>
            <w:r>
              <w:rPr>
                <w:rFonts w:ascii="Times New Roman" w:hAnsi="Times New Roman"/>
                <w:sz w:val="20"/>
              </w:rPr>
              <w:t>15.126.050,42 EUR</w:t>
            </w:r>
          </w:p>
        </w:tc>
        <w:tc>
          <w:tcPr>
            <w:tcW w:type="dxa" w:w="1814"/>
          </w:tcPr>
          <w:p>
            <w:r>
              <w:rPr>
                <w:rFonts w:ascii="Times New Roman" w:hAnsi="Times New Roman"/>
                <w:sz w:val="20"/>
              </w:rPr>
              <w:t>15.126.050,42 EUR</w:t>
            </w:r>
          </w:p>
        </w:tc>
      </w:tr>
      <w:tr>
        <w:tc>
          <w:tcPr>
            <w:tcW w:type="dxa" w:w="1814"/>
          </w:tcPr>
          <w:p>
            <w:r>
              <w:rPr>
                <w:rFonts w:ascii="Times New Roman" w:hAnsi="Times New Roman"/>
                <w:sz w:val="20"/>
              </w:rPr>
              <w:t>2</w:t>
            </w:r>
          </w:p>
        </w:tc>
        <w:tc>
          <w:tcPr>
            <w:tcW w:type="dxa" w:w="1814"/>
          </w:tcPr>
          <w:p>
            <w:r>
              <w:rPr>
                <w:rFonts w:ascii="Times New Roman" w:hAnsi="Times New Roman"/>
                <w:sz w:val="20"/>
              </w:rPr>
              <w:t>Engineering-Vorbereitung Trafostation und Mittelspannungsanschluss</w:t>
            </w:r>
          </w:p>
        </w:tc>
        <w:tc>
          <w:tcPr>
            <w:tcW w:type="dxa" w:w="1814"/>
          </w:tcPr>
          <w:p>
            <w:r>
              <w:rPr>
                <w:rFonts w:ascii="Times New Roman" w:hAnsi="Times New Roman"/>
                <w:sz w:val="20"/>
              </w:rPr>
              <w:t>pauschal</w:t>
            </w:r>
          </w:p>
        </w:tc>
        <w:tc>
          <w:tcPr>
            <w:tcW w:type="dxa" w:w="1814"/>
          </w:tcPr>
          <w:p>
            <w:r>
              <w:rPr>
                <w:rFonts w:ascii="Times New Roman" w:hAnsi="Times New Roman"/>
                <w:sz w:val="20"/>
              </w:rPr>
              <w:t>1.025.210,08 EUR</w:t>
            </w:r>
          </w:p>
        </w:tc>
        <w:tc>
          <w:tcPr>
            <w:tcW w:type="dxa" w:w="1814"/>
          </w:tcPr>
          <w:p>
            <w:r>
              <w:rPr>
                <w:rFonts w:ascii="Times New Roman" w:hAnsi="Times New Roman"/>
                <w:sz w:val="20"/>
              </w:rPr>
              <w:t>1.025.210,08 EUR</w:t>
            </w:r>
          </w:p>
        </w:tc>
      </w:tr>
      <w:tr>
        <w:tc>
          <w:tcPr>
            <w:tcW w:type="dxa" w:w="1814"/>
          </w:tcPr>
          <w:p>
            <w:r>
              <w:rPr>
                <w:rFonts w:ascii="Times New Roman" w:hAnsi="Times New Roman"/>
                <w:sz w:val="20"/>
              </w:rPr>
              <w:t>3</w:t>
            </w:r>
          </w:p>
        </w:tc>
        <w:tc>
          <w:tcPr>
            <w:tcW w:type="dxa" w:w="1814"/>
          </w:tcPr>
          <w:p>
            <w:r>
              <w:rPr>
                <w:rFonts w:ascii="Times New Roman" w:hAnsi="Times New Roman"/>
                <w:sz w:val="20"/>
              </w:rPr>
              <w:t>Logistik-Vorlauf (Hafenumschlag Hamburg/Hamburg-Container Sungrow) und Genehmigungsdienstleistung BImSchG-Hauptantrag</w:t>
            </w:r>
          </w:p>
        </w:tc>
        <w:tc>
          <w:tcPr>
            <w:tcW w:type="dxa" w:w="1814"/>
          </w:tcPr>
          <w:p>
            <w:r>
              <w:rPr>
                <w:rFonts w:ascii="Times New Roman" w:hAnsi="Times New Roman"/>
                <w:sz w:val="20"/>
              </w:rPr>
              <w:t>pauschal</w:t>
            </w:r>
          </w:p>
        </w:tc>
        <w:tc>
          <w:tcPr>
            <w:tcW w:type="dxa" w:w="1814"/>
          </w:tcPr>
          <w:p>
            <w:r>
              <w:rPr>
                <w:rFonts w:ascii="Times New Roman" w:hAnsi="Times New Roman"/>
                <w:sz w:val="20"/>
              </w:rPr>
              <w:t>974.789,92 EUR</w:t>
            </w:r>
          </w:p>
        </w:tc>
        <w:tc>
          <w:tcPr>
            <w:tcW w:type="dxa" w:w="1814"/>
          </w:tcPr>
          <w:p>
            <w:r>
              <w:rPr>
                <w:rFonts w:ascii="Times New Roman" w:hAnsi="Times New Roman"/>
                <w:sz w:val="20"/>
              </w:rPr>
              <w:t>974.789,92 EUR</w:t>
            </w:r>
          </w:p>
        </w:tc>
      </w:tr>
      <w:tr>
        <w:tc>
          <w:tcPr>
            <w:tcW w:type="dxa" w:w="1814"/>
          </w:tcPr>
          <w:p/>
        </w:tc>
        <w:tc>
          <w:tcPr>
            <w:tcW w:type="dxa" w:w="1814"/>
          </w:tcPr>
          <w:p>
            <w:r>
              <w:rPr>
                <w:rFonts w:ascii="Times New Roman" w:hAnsi="Times New Roman"/>
                <w:b/>
                <w:sz w:val="20"/>
              </w:rPr>
              <w:t>Zwischensumme netto</w:t>
            </w:r>
          </w:p>
        </w:tc>
        <w:tc>
          <w:tcPr>
            <w:tcW w:type="dxa" w:w="1814"/>
          </w:tcPr>
          <w:p/>
        </w:tc>
        <w:tc>
          <w:tcPr>
            <w:tcW w:type="dxa" w:w="1814"/>
          </w:tcPr>
          <w:p/>
        </w:tc>
        <w:tc>
          <w:tcPr>
            <w:tcW w:type="dxa" w:w="1814"/>
          </w:tcPr>
          <w:p>
            <w:r>
              <w:rPr>
                <w:rFonts w:ascii="Times New Roman" w:hAnsi="Times New Roman"/>
                <w:b/>
                <w:sz w:val="20"/>
              </w:rPr>
              <w:t>17.126.050,42 EUR</w:t>
            </w:r>
          </w:p>
        </w:tc>
      </w:tr>
      <w:tr>
        <w:tc>
          <w:tcPr>
            <w:tcW w:type="dxa" w:w="1814"/>
          </w:tcPr>
          <w:p/>
        </w:tc>
        <w:tc>
          <w:tcPr>
            <w:tcW w:type="dxa" w:w="1814"/>
          </w:tcPr>
          <w:p>
            <w:r>
              <w:rPr>
                <w:rFonts w:ascii="Times New Roman" w:hAnsi="Times New Roman"/>
                <w:sz w:val="20"/>
              </w:rPr>
              <w:t>Umsatzsteuer 19 %</w:t>
            </w:r>
          </w:p>
        </w:tc>
        <w:tc>
          <w:tcPr>
            <w:tcW w:type="dxa" w:w="1814"/>
          </w:tcPr>
          <w:p/>
        </w:tc>
        <w:tc>
          <w:tcPr>
            <w:tcW w:type="dxa" w:w="1814"/>
          </w:tcPr>
          <w:p/>
        </w:tc>
        <w:tc>
          <w:tcPr>
            <w:tcW w:type="dxa" w:w="1814"/>
          </w:tcPr>
          <w:p>
            <w:r>
              <w:rPr>
                <w:rFonts w:ascii="Times New Roman" w:hAnsi="Times New Roman"/>
                <w:sz w:val="20"/>
              </w:rPr>
              <w:t>3.253.949,58 EUR</w:t>
            </w:r>
          </w:p>
        </w:tc>
      </w:tr>
      <w:tr>
        <w:tc>
          <w:tcPr>
            <w:tcW w:type="dxa" w:w="1814"/>
          </w:tcPr>
          <w:p/>
        </w:tc>
        <w:tc>
          <w:tcPr>
            <w:tcW w:type="dxa" w:w="1814"/>
          </w:tcPr>
          <w:p>
            <w:r>
              <w:rPr>
                <w:rFonts w:ascii="Times New Roman" w:hAnsi="Times New Roman"/>
                <w:b/>
                <w:sz w:val="20"/>
              </w:rPr>
              <w:t>Gesamtsumme brutto</w:t>
            </w:r>
          </w:p>
        </w:tc>
        <w:tc>
          <w:tcPr>
            <w:tcW w:type="dxa" w:w="1814"/>
          </w:tcPr>
          <w:p/>
        </w:tc>
        <w:tc>
          <w:tcPr>
            <w:tcW w:type="dxa" w:w="1814"/>
          </w:tcPr>
          <w:p/>
        </w:tc>
        <w:tc>
          <w:tcPr>
            <w:tcW w:type="dxa" w:w="1814"/>
          </w:tcPr>
          <w:p>
            <w:r>
              <w:rPr>
                <w:rFonts w:ascii="Times New Roman" w:hAnsi="Times New Roman"/>
                <w:b/>
                <w:sz w:val="20"/>
              </w:rPr>
              <w:t>20.380.000,00 EUR</w:t>
            </w:r>
          </w:p>
        </w:tc>
      </w:tr>
      <w:tr>
        <w:tc>
          <w:tcPr>
            <w:tcW w:type="dxa" w:w="1814"/>
          </w:tcPr>
          <w:p/>
        </w:tc>
        <w:tc>
          <w:tcPr>
            <w:tcW w:type="dxa" w:w="1814"/>
          </w:tcPr>
          <w:p>
            <w:r>
              <w:rPr>
                <w:rFonts w:ascii="Times New Roman" w:hAnsi="Times New Roman"/>
                <w:sz w:val="20"/>
              </w:rPr>
              <w:t>abzüglich Vorauszahlungsbonus -5,00 % netto auf Pos. 1 (gemäß § 4 Abs. 2 Satz 2 EPC)</w:t>
            </w:r>
          </w:p>
        </w:tc>
        <w:tc>
          <w:tcPr>
            <w:tcW w:type="dxa" w:w="1814"/>
          </w:tcPr>
          <w:p/>
        </w:tc>
        <w:tc>
          <w:tcPr>
            <w:tcW w:type="dxa" w:w="1814"/>
          </w:tcPr>
          <w:p/>
        </w:tc>
        <w:tc>
          <w:tcPr>
            <w:tcW w:type="dxa" w:w="1814"/>
          </w:tcPr>
          <w:p>
            <w:r>
              <w:rPr>
                <w:rFonts w:ascii="Times New Roman" w:hAnsi="Times New Roman"/>
                <w:sz w:val="20"/>
              </w:rPr>
              <w:t>-2.380.000,00 EUR</w:t>
            </w:r>
          </w:p>
        </w:tc>
      </w:tr>
      <w:tr>
        <w:tc>
          <w:tcPr>
            <w:tcW w:type="dxa" w:w="1814"/>
          </w:tcPr>
          <w:p/>
        </w:tc>
        <w:tc>
          <w:tcPr>
            <w:tcW w:type="dxa" w:w="1814"/>
          </w:tcPr>
          <w:p>
            <w:r>
              <w:rPr>
                <w:rFonts w:ascii="Times New Roman" w:hAnsi="Times New Roman"/>
                <w:b/>
                <w:sz w:val="20"/>
              </w:rPr>
              <w:t>Zahlbetrag</w:t>
            </w:r>
          </w:p>
        </w:tc>
        <w:tc>
          <w:tcPr>
            <w:tcW w:type="dxa" w:w="1814"/>
          </w:tcPr>
          <w:p/>
        </w:tc>
        <w:tc>
          <w:tcPr>
            <w:tcW w:type="dxa" w:w="1814"/>
          </w:tcPr>
          <w:p/>
        </w:tc>
        <w:tc>
          <w:tcPr>
            <w:tcW w:type="dxa" w:w="1814"/>
          </w:tcPr>
          <w:p>
            <w:r>
              <w:rPr>
                <w:rFonts w:ascii="Times New Roman" w:hAnsi="Times New Roman"/>
                <w:b/>
                <w:sz w:val="20"/>
              </w:rPr>
              <w:t>18.000.000,00 EUR</w:t>
            </w:r>
          </w:p>
        </w:tc>
      </w:tr>
    </w:tbl>
    <w:p>
      <w:pPr>
        <w:pStyle w:val="Heading2"/>
      </w:pPr>
      <w:r>
        <w:rPr>
          <w:rFonts w:ascii="Times New Roman" w:hAnsi="Times New Roman"/>
        </w:rPr>
        <w:t>Zahlungsmodalitäten</w:t>
      </w:r>
    </w:p>
    <w:p>
      <w:pPr>
        <w:pStyle w:val="ListBullet"/>
      </w:pPr>
      <w:r>
        <w:t xml:space="preserve">Fälligkeit: </w:t>
      </w:r>
      <w:r>
        <w:rPr>
          <w:b/>
        </w:rPr>
        <w:t>15.10.2025</w:t>
      </w:r>
      <w:r>
        <w:t xml:space="preserve"> (Datum NordCap-Beschluss vom 17.10.2025 hat die Disposition verzögert; tatsächlicher Zahlungstag 22.10.2025)</w:t>
      </w:r>
    </w:p>
    <w:p>
      <w:pPr>
        <w:pStyle w:val="ListBullet"/>
      </w:pPr>
      <w:r>
        <w:t>Zahlbar auf Sungrow-Konto: Deutsche Bank München, IBAN DE74 7007 0024 0123 0145 00, BIC DEUTDEMMXXX, Verwendungszweck „SDE-2025-09-LSS200-A1"</w:t>
      </w:r>
    </w:p>
    <w:p>
      <w:pPr>
        <w:pStyle w:val="ListBullet"/>
      </w:pPr>
      <w:r>
        <w:t>Skonto entfällt (Vorauszahlungsbonus bereits in Rechnung verrechnet)</w:t>
      </w:r>
    </w:p>
    <w:p>
      <w:pPr>
        <w:pStyle w:val="Heading2"/>
      </w:pPr>
      <w:r>
        <w:rPr>
          <w:rFonts w:ascii="Times New Roman" w:hAnsi="Times New Roman"/>
        </w:rPr>
        <w:t>Auszug § 4 Abs. 2 EPC-Vertrag — Zahlungsbedingungen Anzahlung</w:t>
      </w:r>
    </w:p>
    <w:p>
      <w:pPr>
        <w:ind w:left="567"/>
      </w:pPr>
      <w:r>
        <w:rPr>
          <w:i/>
        </w:rPr>
        <w:t>„Die Anzahlung von 18.000.000 EUR (achtzehn Millionen) ist nach Vorlage der CP-Bestätigung gemäß Senior-Darlehensvertrag NordCap, des Vorbescheids BImSchG und des Avalrahmenvertrags ILB innerhalb 30 Tagen zu leisten. Der Anzahlung ist eine Anzahlungsbürgschaft (advance payment bond) der Sungrow in Höhe von 18 Mio EUR beizuheften, die mit jeder Tranchenfortschrittsmeldung pro rata aufgebraucht wird."</w:t>
      </w:r>
    </w:p>
    <w:p>
      <w:pPr>
        <w:pStyle w:val="Heading2"/>
      </w:pPr>
      <w:r>
        <w:rPr>
          <w:rFonts w:ascii="Times New Roman" w:hAnsi="Times New Roman"/>
        </w:rPr>
        <w:t>Advance Payment Bond Sungrow</w:t>
      </w:r>
    </w:p>
    <w:p>
      <w:pPr>
        <w:pStyle w:val="ListBullet"/>
      </w:pPr>
      <w:r>
        <w:t>Avalgeber: Bank of China (Frankfurt Branch), Bockenheimer Anlage 11, 60322 Frankfurt am Main</w:t>
      </w:r>
    </w:p>
    <w:p>
      <w:pPr>
        <w:pStyle w:val="ListBullet"/>
      </w:pPr>
      <w:r>
        <w:t>Avalbetrag: 18.000.000 EUR</w:t>
      </w:r>
    </w:p>
    <w:p>
      <w:pPr>
        <w:pStyle w:val="ListBullet"/>
      </w:pPr>
      <w:r>
        <w:t>Aval-Aktenzeichen: BOC-FRA-2025-09-187 vom 22.09.2025</w:t>
      </w:r>
    </w:p>
    <w:p>
      <w:pPr>
        <w:pStyle w:val="ListBullet"/>
      </w:pPr>
      <w:r>
        <w:t>Verfall: nach Fortschrittsbestätigung der Phase 1 (voraussichtlich Q1/2027) oder bei vorheriger Vertragsauflösung</w:t>
      </w:r>
    </w:p>
    <w:p>
      <w:pPr>
        <w:pStyle w:val="ListBullet"/>
      </w:pPr>
      <w:r>
        <w:rPr>
          <w:b/>
        </w:rPr>
        <w:t>Anzeige an LausitzStorage erfolgt am 25.09.2025</w:t>
      </w:r>
      <w:r>
        <w:t xml:space="preserve"> mit Posteingangsstempel der LausitzStorage</w:t>
      </w:r>
    </w:p>
    <w:p>
      <w:pPr>
        <w:pStyle w:val="Heading2"/>
      </w:pPr>
      <w:r>
        <w:rPr>
          <w:rFonts w:ascii="Times New Roman" w:hAnsi="Times New Roman"/>
        </w:rPr>
        <w:t>Verknüpfung zum Sicherheitenpool</w:t>
      </w:r>
    </w:p>
    <w:p>
      <w:pPr>
        <w:jc w:val="left"/>
      </w:pPr>
      <w:r>
        <w:t>Die Anzahlung der LausitzStorage von 18 Mio EUR an Sungrow ist durch die Sungrow-Bürgschaft gegen das Insolvenzrisiko der Sungrow abgesichert. Innerhalb des Sicherheitenpools NordCap/ILB (Akte 34) ist die Mängelgewährleistungs-Forderung gegen Sungrow zudem an Federfuchs Knöterich &amp; Partner abgetreten (Sicherungsabtretung EPC-Mängelgewährleistung, § 1 Nr. 5 Sicherheitenpoolvertrag).</w:t>
      </w:r>
    </w:p>
    <w:p>
      <w:pPr>
        <w:pStyle w:val="Heading2"/>
      </w:pPr>
      <w:r>
        <w:rPr>
          <w:rFonts w:ascii="Times New Roman" w:hAnsi="Times New Roman"/>
        </w:rPr>
        <w:t>❗ Befund Statusersteller</w:t>
      </w:r>
    </w:p>
    <w:p>
      <w:pPr>
        <w:pStyle w:val="ListBullet"/>
      </w:pPr>
      <w:r>
        <w:t>Rechnung ist formell korrekt (§ 14 UStG: alle Pflichtangaben vorhanden).</w:t>
      </w:r>
    </w:p>
    <w:p>
      <w:pPr>
        <w:pStyle w:val="ListBullet"/>
      </w:pPr>
      <w:r>
        <w:t>Zahlung wurde am 22.10.2025 vom Projektkonto LausitzStorage (Kontonr. 0123456701, Akte 35) an Sungrow Deutsche Bank München geleistet (SWIFT-Ausgangsbeleg im Anhang, Buchungstag bestätigt durch Commerzbank-Tagesauszug 22.10.2025).</w:t>
      </w:r>
    </w:p>
    <w:p>
      <w:pPr>
        <w:pStyle w:val="ListBullet"/>
      </w:pPr>
      <w:r>
        <w:t>Advance Payment Bond Bank of China liegt vor und ist gültig.</w:t>
      </w:r>
    </w:p>
    <w:p>
      <w:pPr>
        <w:pStyle w:val="ListBullet"/>
      </w:pPr>
      <w:r>
        <w:t xml:space="preserve">Status: </w:t>
      </w:r>
      <w:r>
        <w:rPr>
          <w:b/>
        </w:rPr>
        <w:t>grün</w:t>
      </w:r>
      <w:r>
        <w:t xml:space="preserve"> — abgesicherte Hauptverwendung der Tranche 2.</w:t>
      </w:r>
    </w:p>
    <w:p>
      <w:pPr>
        <w:pStyle w:val="Heading2"/>
      </w:pPr>
      <w:r>
        <w:rPr>
          <w:rFonts w:ascii="Times New Roman" w:hAnsi="Times New Roman"/>
        </w:rPr>
        <w:t>Aktenlage</w:t>
      </w:r>
    </w:p>
    <w:p>
      <w:pPr>
        <w:pStyle w:val="ListBullet"/>
      </w:pPr>
      <w:r>
        <w:t>Original-Rechnung (PDF mit qualifizierter elektronischer Signatur Sungrow): Buchhaltung LausitzStorage (Hentschel-Archiv)</w:t>
      </w:r>
    </w:p>
    <w:p>
      <w:pPr>
        <w:pStyle w:val="ListBullet"/>
      </w:pPr>
      <w:r>
        <w:t>Banküberweisungsbeleg 22.10.2025: Commerzbank-Tagesauszug-Sammlung</w:t>
      </w:r>
    </w:p>
    <w:p>
      <w:pPr>
        <w:pStyle w:val="ListBullet"/>
      </w:pPr>
      <w:r>
        <w:t>Advance Payment Bond Bank of China BOC-FRA-2025-09-187: Original im Sicherheitenpool-Aktenordner Federfuchs Knöterich &amp; Partner</w:t>
      </w:r>
    </w:p>
    <w:p>
      <w:pPr>
        <w:pStyle w:val="ListBullet"/>
      </w:pPr>
      <w:r>
        <w:t>Mandatsakte Pohlmann &amp; Pohlmann: beglaubigte Kopie der Rechnung und des Bonds, eingegangen 27.09.2025</w:t>
      </w:r>
    </w:p>
    <w:p>
      <w:pPr>
        <w:pStyle w:val="Heading2"/>
      </w:pPr>
      <w:r>
        <w:rPr>
          <w:rFonts w:ascii="Times New Roman" w:hAnsi="Times New Roman"/>
        </w:rPr>
        <w:t>Normbezug</w:t>
      </w:r>
    </w:p>
    <w:p>
      <w:pPr>
        <w:pStyle w:val="ListBullet"/>
      </w:pPr>
      <w:r>
        <w:t>§ 14 UStG (Rechnungspflichtangaben)</w:t>
      </w:r>
    </w:p>
    <w:p>
      <w:pPr>
        <w:pStyle w:val="ListBullet"/>
      </w:pPr>
      <w:r>
        <w:t>§ 631 BGB (Werkvertrag, EPC-Vertrag)</w:t>
      </w:r>
    </w:p>
    <w:p>
      <w:pPr>
        <w:pStyle w:val="ListBullet"/>
      </w:pPr>
      <w:r>
        <w:t>§ 632a BGB (Abschlagszahlungen)</w:t>
      </w:r>
    </w:p>
    <w:p>
      <w:pPr>
        <w:pStyle w:val="ListBullet"/>
      </w:pPr>
      <w:r>
        <w:t>§§ 768, 770 BGB (Bürgschaft Advance Payment Bond)</w:t>
      </w:r>
    </w:p>
    <w:p>
      <w:pPr>
        <w:pStyle w:val="ListBullet"/>
      </w:pPr>
      <w:r>
        <w:t>§ 398 BGB (Sicherungsabtretung Mängelgewährleistung)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Sungrow Deutschland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Sungrow Deutschland GmbH</w:t>
    </w:r>
  </w:p>
  <w:p>
    <w:pPr>
      <w:jc w:val="left"/>
      <w:pBdr>
        <w:bottom w:val="single" w:sz="6" w:space="2" w:color="8A6A1F"/>
      </w:pBdr>
    </w:pPr>
    <w:r>
      <w:rPr>
        <w:rFonts w:ascii="Times New Roman" w:hAnsi="Times New Roman"/>
        <w:color w:val="6B6B66"/>
        <w:sz w:val="16"/>
      </w:rPr>
      <w:t>Balanstraße 59, 81541 München, HRB 197841 München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