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Forensik-Protokoll Cap-Table V2 (Inkubator-IT Cottbus GmbH)</w:t>
      </w:r>
    </w:p>
    <w:p>
      <w:pPr>
        <w:jc w:val="left"/>
      </w:pPr>
      <w:r>
        <w:rPr>
          <w:b/>
        </w:rPr>
        <w:t>Auftraggeber:</w:t>
      </w:r>
      <w:r>
        <w:t xml:space="preserve"> Karlheinz Bauernfeind als Geschäftsführer LausitzStorage 200 GmbH</w:t>
      </w:r>
    </w:p>
    <w:p>
      <w:pPr>
        <w:jc w:val="left"/>
      </w:pPr>
      <w:r>
        <w:rPr>
          <w:b/>
        </w:rPr>
        <w:t>Auftrag erteilt:</w:t>
      </w:r>
      <w:r>
        <w:t xml:space="preserve"> 09.06.2026 nach Eingang Anwaltsschreiben Lindenthal (Akte 39)</w:t>
      </w:r>
    </w:p>
    <w:p>
      <w:pPr>
        <w:jc w:val="left"/>
      </w:pPr>
      <w:r>
        <w:rPr>
          <w:b/>
        </w:rPr>
        <w:t>Auftragnehmer:</w:t>
      </w:r>
      <w:r>
        <w:t xml:space="preserve"> Inkubator-IT Cottbus GmbH, Berliner Straße 14, 03046 Cottbus</w:t>
      </w:r>
    </w:p>
    <w:p>
      <w:pPr>
        <w:jc w:val="left"/>
      </w:pPr>
      <w:r>
        <w:rPr>
          <w:b/>
        </w:rPr>
        <w:t>Verantwortlicher Forensiker:</w:t>
      </w:r>
      <w:r>
        <w:t xml:space="preserve"> Dipl.-Inf. Henning Trostein (zertifizierter IT-Sachverständiger nach §§ 36, 37 SchfHwG)</w:t>
      </w:r>
    </w:p>
    <w:p>
      <w:pPr>
        <w:jc w:val="left"/>
      </w:pPr>
      <w:r>
        <w:rPr>
          <w:b/>
        </w:rPr>
        <w:t>Protokoll erstellt:</w:t>
      </w:r>
      <w:r>
        <w:t xml:space="preserve"> 11.06.2026</w:t>
      </w:r>
    </w:p>
    <w:p>
      <w:pPr>
        <w:jc w:val="left"/>
      </w:pPr>
      <w:r>
        <w:rPr>
          <w:b/>
        </w:rPr>
        <w:t>Aktenzeichen Inkubator-IT:</w:t>
      </w:r>
      <w:r>
        <w:t xml:space="preserve"> ICTC-2026/0609-LausitzStorage-Forensik</w:t>
      </w:r>
    </w:p>
    <w:p>
      <w:pPr>
        <w:pStyle w:val="Heading2"/>
      </w:pPr>
      <w:r>
        <w:rPr>
          <w:rFonts w:ascii="Times New Roman" w:hAnsi="Times New Roman"/>
        </w:rPr>
        <w:t>I. Auftragsbeschreibung</w:t>
      </w:r>
    </w:p>
    <w:p>
      <w:pPr>
        <w:jc w:val="left"/>
      </w:pPr>
      <w:r>
        <w:t xml:space="preserve">Untersuchung der Frage, ob die in der Cap-Table-Datei </w:t>
      </w:r>
      <w:r>
        <w:t>cap_table_aktuell.xlsx</w:t>
      </w:r>
      <w:r>
        <w:t xml:space="preserve"> (gepflegt durch das Sekretariat Bauernfeind im Geschäftsführungs-NAS-Pfad </w:t>
      </w:r>
      <w:r>
        <w:t>\\NAS\GF\Beteiligung\</w:t>
      </w:r>
      <w:r>
        <w:t xml:space="preserve">) in Variante V2 ausgewiesene Beteiligungsstruktur (NordCap 30,61 % statt 30,00 %, Gesamtkapital 78.780 EUR statt 78.000 EUR) in der </w:t>
      </w:r>
      <w:r>
        <w:rPr>
          <w:b/>
        </w:rPr>
        <w:t>Außenkommunikation</w:t>
      </w:r>
      <w:r>
        <w:t xml:space="preserve"> der Gesellschaft im Zeitraum </w:t>
      </w:r>
      <w:r>
        <w:rPr>
          <w:b/>
        </w:rPr>
        <w:t>01.02.2026 bis 09.06.2026</w:t>
      </w:r>
      <w:r>
        <w:t xml:space="preserve"> verwendet worden ist.</w:t>
      </w:r>
    </w:p>
    <w:p>
      <w:pPr>
        <w:pStyle w:val="Heading2"/>
      </w:pPr>
      <w:r>
        <w:rPr>
          <w:rFonts w:ascii="Times New Roman" w:hAnsi="Times New Roman"/>
        </w:rPr>
        <w:t>II. Untersuchungsumfang</w:t>
      </w:r>
    </w:p>
    <w:p>
      <w:pPr>
        <w:pStyle w:val="ListBullet"/>
      </w:pPr>
      <w:r>
        <w:t>18.247 Mailpostfacher-Eingänge/Ausgänge der Geschäftsführungsadressen</w:t>
      </w:r>
    </w:p>
    <w:p>
      <w:pPr>
        <w:pStyle w:val="ListBullet"/>
      </w:pPr>
      <w:r>
        <w:t>karlheinz.bauernfeind@lausitzstorage.de (Hauptpostfach)</w:t>
      </w:r>
    </w:p>
    <w:p>
      <w:pPr>
        <w:pStyle w:val="ListBullet"/>
      </w:pPr>
      <w:r>
        <w:t>sekretariat@lausitzstorage.de</w:t>
      </w:r>
    </w:p>
    <w:p>
      <w:pPr>
        <w:pStyle w:val="ListBullet"/>
      </w:pPr>
      <w:r>
        <w:t>finanzen@lausitzstorage.de (Steuerberater Hentschel)</w:t>
      </w:r>
    </w:p>
    <w:p>
      <w:pPr>
        <w:pStyle w:val="ListBullet"/>
      </w:pPr>
      <w:r>
        <w:t>reporting@lausitzstorage.de (Investor Relations)</w:t>
      </w:r>
    </w:p>
    <w:p>
      <w:pPr>
        <w:pStyle w:val="ListBullet"/>
      </w:pPr>
      <w:r>
        <w:t xml:space="preserve">8.412 ausgehende Dateianhänge mit Cap-Table-relevanter Dateibezeichnung (Stichwortsuche: </w:t>
      </w:r>
      <w:r>
        <w:t>cap</w:t>
      </w:r>
      <w:r>
        <w:t xml:space="preserve">, </w:t>
      </w:r>
      <w:r>
        <w:t>beteiligung</w:t>
      </w:r>
      <w:r>
        <w:t xml:space="preserve">, </w:t>
      </w:r>
      <w:r>
        <w:t>gesell</w:t>
      </w:r>
      <w:r>
        <w:t xml:space="preserve">, </w:t>
      </w:r>
      <w:r>
        <w:t>anteil</w:t>
      </w:r>
      <w:r>
        <w:t xml:space="preserve">, </w:t>
      </w:r>
      <w:r>
        <w:t>78</w:t>
      </w:r>
      <w:r>
        <w:t>)</w:t>
      </w:r>
    </w:p>
    <w:p>
      <w:pPr>
        <w:pStyle w:val="ListBullet"/>
      </w:pPr>
      <w:r>
        <w:t xml:space="preserve">Geschäftsführungs-NAS </w:t>
      </w:r>
      <w:r>
        <w:t>\\NAS\GF\Beteiligung\</w:t>
      </w:r>
      <w:r>
        <w:t xml:space="preserve"> — sämtliche Versionsstände der Datei </w:t>
      </w:r>
      <w:r>
        <w:t>cap_table_aktuell.xlsx</w:t>
      </w:r>
      <w:r>
        <w:t xml:space="preserve"> (Excel-Versionshistorie, OneDrive-Sync-Backups)</w:t>
      </w:r>
    </w:p>
    <w:p>
      <w:pPr>
        <w:pStyle w:val="ListBullet"/>
      </w:pPr>
      <w:r>
        <w:t>Kommunikation mit externen Empfängern: NordCap, Lindenthal, Stadtwerke Cottbus, ILB, Commerzbank, Federfuchs Knöterich &amp; Partner, Sungrow, 50Hertz, LEAG, Notar Dr. Albers, Pohlmann &amp; Pohlmann, Schweikart Knabel und Partner</w:t>
      </w:r>
    </w:p>
    <w:p>
      <w:pPr>
        <w:pStyle w:val="Heading2"/>
      </w:pPr>
      <w:r>
        <w:rPr>
          <w:rFonts w:ascii="Times New Roman" w:hAnsi="Times New Roman"/>
        </w:rPr>
        <w:t>III. Methodik</w:t>
      </w:r>
    </w:p>
    <w:p>
      <w:pPr>
        <w:jc w:val="left"/>
      </w:pPr>
      <w:r>
        <w:t>Volltext-Scan der Mailpostfächer mit folgenden Stichwort-Kombinationen:</w:t>
      </w:r>
    </w:p>
    <w:p>
      <w:pPr>
        <w:pStyle w:val="ListBullet"/>
      </w:pPr>
      <w:r>
        <w:t>78.780</w:t>
      </w:r>
      <w:r>
        <w:t xml:space="preserve"> oder </w:t>
      </w:r>
      <w:r>
        <w:t>78,780.00</w:t>
      </w:r>
      <w:r>
        <w:t xml:space="preserve"> oder </w:t>
      </w:r>
      <w:r>
        <w:t>78.780,00</w:t>
      </w:r>
    </w:p>
    <w:p>
      <w:pPr>
        <w:pStyle w:val="ListBullet"/>
      </w:pPr>
      <w:r>
        <w:t>24.180</w:t>
      </w:r>
      <w:r>
        <w:t xml:space="preserve"> oder </w:t>
      </w:r>
      <w:r>
        <w:t>24,180.00</w:t>
      </w:r>
      <w:r>
        <w:t xml:space="preserve"> oder </w:t>
      </w:r>
      <w:r>
        <w:t>24.180,00</w:t>
      </w:r>
    </w:p>
    <w:p>
      <w:pPr>
        <w:pStyle w:val="ListBullet"/>
      </w:pPr>
      <w:r>
        <w:t>30,61</w:t>
      </w:r>
      <w:r>
        <w:t xml:space="preserve"> oder </w:t>
      </w:r>
      <w:r>
        <w:t>30.61</w:t>
      </w:r>
    </w:p>
    <w:p>
      <w:pPr>
        <w:pStyle w:val="ListBullet"/>
      </w:pPr>
      <w:r>
        <w:t>Cap-Table V2</w:t>
      </w:r>
      <w:r>
        <w:t xml:space="preserve"> oder </w:t>
      </w:r>
      <w:r>
        <w:t>Cap Table V2</w:t>
      </w:r>
      <w:r>
        <w:t xml:space="preserve"> oder </w:t>
      </w:r>
      <w:r>
        <w:t>CapTableV2</w:t>
      </w:r>
    </w:p>
    <w:p>
      <w:pPr>
        <w:pStyle w:val="ListBullet"/>
      </w:pPr>
      <w:r>
        <w:t>Dateinamens-Hashes der V2-Excel-Datei (SHA-256 vor und nach jeder identifizierten Bearbeitung)</w:t>
      </w:r>
    </w:p>
    <w:p>
      <w:pPr>
        <w:jc w:val="left"/>
      </w:pPr>
      <w:r>
        <w:t>Zusätzlich wurde die Versionshistorie des Excel-Dokuments forensisch ausgelesen — alle 47 Änderungs-Snapshots zwischen 22.02.2026 (V2-Erstanlage) und 09.06.2026 (V2-Löschung, siehe unten) wurden dokumentiert.</w:t>
      </w:r>
    </w:p>
    <w:p>
      <w:pPr>
        <w:pStyle w:val="Heading2"/>
      </w:pPr>
      <w:r>
        <w:rPr>
          <w:rFonts w:ascii="Times New Roman" w:hAnsi="Times New Roman"/>
        </w:rPr>
        <w:t>IV. Befunde</w:t>
      </w:r>
    </w:p>
    <w:p>
      <w:pPr>
        <w:pStyle w:val="Heading3"/>
      </w:pPr>
      <w:r>
        <w:rPr>
          <w:rFonts w:ascii="Times New Roman" w:hAnsi="Times New Roman"/>
        </w:rPr>
        <w:t>IV.1 Interne Verwendung</w:t>
      </w:r>
    </w:p>
    <w:p>
      <w:pPr>
        <w:pStyle w:val="ListBullet"/>
      </w:pPr>
      <w:r>
        <w:t xml:space="preserve">Die Datei </w:t>
      </w:r>
      <w:r>
        <w:t>cap_table_aktuell.xlsx</w:t>
      </w:r>
      <w:r>
        <w:t xml:space="preserve"> mit V2-Linie wurde </w:t>
      </w:r>
      <w:r>
        <w:rPr>
          <w:b/>
        </w:rPr>
        <w:t>zwischen 22.02.2026 und 09.06.2026</w:t>
      </w:r>
      <w:r>
        <w:t xml:space="preserve"> ausschließlich im Geschäftsführungs-NAS gepflegt.</w:t>
      </w:r>
    </w:p>
    <w:p>
      <w:pPr>
        <w:pStyle w:val="ListBullet"/>
      </w:pPr>
      <w:r>
        <w:t>Zugriffsberechtigung: Bauernfeind (lesen/schreiben), Sekretariat Pawlowski (lesen/schreiben), Steuerberater Hentschel (nur lesen, Zugriff erst ab 14.03.2026).</w:t>
      </w:r>
    </w:p>
    <w:p>
      <w:pPr>
        <w:pStyle w:val="ListBullet"/>
      </w:pPr>
      <w:r>
        <w:t>Hentschel hat in seinen Buchhaltungs-/Bilanzauswertungen ausschließlich die V1-Linie verwendet (verifiziert durch Stichproben in der DATEV-Mandantenarchivierung 01.03.2026 – 31.05.2026).</w:t>
      </w:r>
    </w:p>
    <w:p>
      <w:pPr>
        <w:pStyle w:val="Heading3"/>
      </w:pPr>
      <w:r>
        <w:rPr>
          <w:rFonts w:ascii="Times New Roman" w:hAnsi="Times New Roman"/>
        </w:rPr>
        <w:t>IV.2 Externe Verwendung — Befund: KEINE</w:t>
      </w:r>
    </w:p>
    <w:p>
      <w:pPr>
        <w:ind w:left="567"/>
      </w:pPr>
      <w:r>
        <w:rPr>
          <w:b/>
          <w:i/>
        </w:rPr>
        <w:t>Im untersuchten Zeitraum wurde die V2-Linie zu keinem Zeitpunkt in einer Außenkommunikation der LausitzStorage 200 GmbH verwendet.</w:t>
      </w:r>
    </w:p>
    <w:p>
      <w:pPr>
        <w:jc w:val="left"/>
      </w:pPr>
      <w:r>
        <w:t>Konkret:</w:t>
      </w:r>
    </w:p>
    <w:p>
      <w:pPr>
        <w:pStyle w:val="ListBullet"/>
      </w:pPr>
      <w:r>
        <w:t>12 Investor-Update-Mails an NordCap im Zeitraum 01.02.2026 – 31.05.2026: alle enthalten V1-Linie (verifiziert durch Anhangs-Inspektion).</w:t>
      </w:r>
    </w:p>
    <w:p>
      <w:pPr>
        <w:pStyle w:val="ListBullet"/>
      </w:pPr>
      <w:r>
        <w:t>7 Mails an Lindenthal (vorrangig kommunikatorisch): keine Cap-Table-Anlagen.</w:t>
      </w:r>
    </w:p>
    <w:p>
      <w:pPr>
        <w:pStyle w:val="ListBullet"/>
      </w:pPr>
      <w:r>
        <w:t>14 Mails an Stadtwerke Cottbus: keine Cap-Table-Anlagen mit V2.</w:t>
      </w:r>
    </w:p>
    <w:p>
      <w:pPr>
        <w:pStyle w:val="ListBullet"/>
      </w:pPr>
      <w:r>
        <w:t>8 ILB-Kommunikationen (Avalrahmenanträge, Berichte): nur V1.</w:t>
      </w:r>
    </w:p>
    <w:p>
      <w:pPr>
        <w:pStyle w:val="ListBullet"/>
      </w:pPr>
      <w:r>
        <w:t>Commerzbank-Kommunikation (Konto-Sicherheiten, Limit-Erhöhungen): nur V1.</w:t>
      </w:r>
    </w:p>
    <w:p>
      <w:pPr>
        <w:pStyle w:val="ListBullet"/>
      </w:pPr>
      <w:r>
        <w:t>Federfuchs Knöterich &amp; Partner (Security Agent): Cap-Table-Sektion in Quartalsbericht — nur V1.</w:t>
      </w:r>
    </w:p>
    <w:p>
      <w:pPr>
        <w:pStyle w:val="ListBullet"/>
      </w:pPr>
      <w:r>
        <w:t>Sungrow, 50Hertz, LEAG: keine Cap-Table-Anlagen.</w:t>
      </w:r>
    </w:p>
    <w:p>
      <w:pPr>
        <w:pStyle w:val="ListBullet"/>
      </w:pPr>
      <w:r>
        <w:t>Notar Albers: nur V1-Linie in Beurkundungsvorbereitungen.</w:t>
      </w:r>
    </w:p>
    <w:p>
      <w:pPr>
        <w:pStyle w:val="Heading3"/>
      </w:pPr>
      <w:r>
        <w:rPr>
          <w:rFonts w:ascii="Times New Roman" w:hAnsi="Times New Roman"/>
        </w:rPr>
        <w:t>IV.3 Versionshistorie V2</w:t>
      </w:r>
    </w:p>
    <w:p>
      <w:pPr>
        <w:pStyle w:val="ListBullet"/>
      </w:pPr>
      <w:r>
        <w:rPr>
          <w:b/>
        </w:rPr>
        <w:t>Erstanlage V2:</w:t>
      </w:r>
      <w:r>
        <w:t xml:space="preserve"> 22.02.2026, 14:17 Uhr (Excel-Versionshistorie Zelleneditierung B3 von 23.400 auf 24.180, B7 von 78.000 auf 78.780)</w:t>
      </w:r>
    </w:p>
    <w:p>
      <w:pPr>
        <w:pStyle w:val="ListBullet"/>
      </w:pPr>
      <w:r>
        <w:rPr>
          <w:b/>
        </w:rPr>
        <w:t>Hintergrund:</w:t>
      </w:r>
      <w:r>
        <w:t xml:space="preserve"> Bauernfeind-Notiz in Zelle K3: „Antizipation Teilwandlung NordCap aus 02.03.2026-Sondierung". Diese Notiz spricht für die Erklärung „Vorschau, nicht Beschluss" — sie nimmt zeitlich auf eine Mail Bezug, die nachweislich am 02.03.2026 von NordCap an Bauernfeind erging.</w:t>
      </w:r>
    </w:p>
    <w:p>
      <w:pPr>
        <w:pStyle w:val="ListBullet"/>
      </w:pPr>
      <w:r>
        <w:rPr>
          <w:b/>
        </w:rPr>
        <w:t>Bereinigung:</w:t>
      </w:r>
      <w:r>
        <w:t xml:space="preserve"> 09.06.2026, 11:47 Uhr — V2-Werte zurückgesetzt auf V1-Werte. Bestätigung durch Pawlowski-Sekretariats-Protokoll.</w:t>
      </w:r>
    </w:p>
    <w:p>
      <w:pPr>
        <w:pStyle w:val="Heading2"/>
      </w:pPr>
      <w:r>
        <w:rPr>
          <w:rFonts w:ascii="Times New Roman" w:hAnsi="Times New Roman"/>
        </w:rPr>
        <w:t>V. Gutachterliche Bewertung</w:t>
      </w:r>
    </w:p>
    <w:p>
      <w:pPr>
        <w:ind w:left="567"/>
      </w:pPr>
      <w:r>
        <w:rPr>
          <w:i/>
        </w:rPr>
        <w:t>„Auf Grundlage der vorliegenden technischen Befunde kann mit hoher Sicherheit ausgeschlossen werden, dass die in der V2-Linie ausgewiesene Beteiligungsstruktur (NordCap 30,61 % / Gesamtkapital 78.780 EUR) im Zeitraum 22.02.2026 bis 09.06.2026 von der Geschäftsführung der LausitzStorage 200 GmbH in der Außenkommunikation gegenüber Banken, Investoren, Aufsichtsbehörden, Vertragspartnern oder Mitgesellschaftern verwendet worden ist. Die V2-Werte waren ausschließlich interne Vorausplanung."</w:t>
      </w:r>
    </w:p>
    <w:p>
      <w:pPr>
        <w:pStyle w:val="Heading2"/>
      </w:pPr>
      <w:r>
        <w:rPr>
          <w:rFonts w:ascii="Times New Roman" w:hAnsi="Times New Roman"/>
        </w:rPr>
        <w:t>VI. Hinweise für die Geschäftsführung</w:t>
      </w:r>
    </w:p>
    <w:p>
      <w:pPr>
        <w:pStyle w:val="ListNumber"/>
      </w:pPr>
      <w:r>
        <w:t xml:space="preserve">Künftige interne Voraus-Planungen sind in einem </w:t>
      </w:r>
      <w:r>
        <w:rPr>
          <w:b/>
        </w:rPr>
        <w:t>separaten Dokument</w:t>
      </w:r>
      <w:r>
        <w:t xml:space="preserve"> (</w:t>
      </w:r>
      <w:r>
        <w:t>cap_table_forecast.xlsx</w:t>
      </w:r>
      <w:r>
        <w:t>) zu führen, das nicht mit der aktuellen Cap-Table verwechselt werden kann.</w:t>
      </w:r>
    </w:p>
    <w:p>
      <w:pPr>
        <w:pStyle w:val="ListNumber"/>
      </w:pPr>
      <w:r>
        <w:t xml:space="preserve">Jeder Voraus-Plan ist mit einem </w:t>
      </w:r>
      <w:r>
        <w:rPr>
          <w:b/>
        </w:rPr>
        <w:t>expliziten Vermerk</w:t>
      </w:r>
      <w:r>
        <w:t xml:space="preserve"> „NICHT BESCHLOSSEN, VORAUSSCHAU" zu kennzeichnen.</w:t>
      </w:r>
    </w:p>
    <w:p>
      <w:pPr>
        <w:pStyle w:val="ListNumber"/>
      </w:pPr>
      <w:r>
        <w:t>Der Zugang von Steuerberater Hentschel zum Voraus-Plan-Dokument ist zu sperren (Vermeidung von Bilanzkonfusion).</w:t>
      </w:r>
    </w:p>
    <w:p>
      <w:pPr>
        <w:pStyle w:val="ListNumber"/>
      </w:pPr>
      <w:r>
        <w:t xml:space="preserve">Eine </w:t>
      </w:r>
      <w:r>
        <w:rPr>
          <w:b/>
        </w:rPr>
        <w:t>interne Compliance-Note</w:t>
      </w:r>
      <w:r>
        <w:t xml:space="preserve"> mit Verteiler an die Mitgesellschafter über die V2-Entstehung, V2-Bereinigung und die Maßnahmen 1-3 ist zu erstellen — Entwurf wird durch Pohlmann &amp; Pohlmann beigesteuert.</w:t>
      </w:r>
    </w:p>
    <w:p>
      <w:pPr>
        <w:pStyle w:val="Heading2"/>
      </w:pPr>
      <w:r>
        <w:rPr>
          <w:rFonts w:ascii="Times New Roman" w:hAnsi="Times New Roman"/>
        </w:rPr>
        <w:t>VII. Aktenlage</w:t>
      </w:r>
    </w:p>
    <w:p>
      <w:pPr>
        <w:pStyle w:val="ListBullet"/>
      </w:pPr>
      <w:r>
        <w:t>Forensik-Protokoll Original (89 Seiten mit Anhängen): Inkubator-IT Cottbus, Auftragsdokumentation</w:t>
      </w:r>
    </w:p>
    <w:p>
      <w:pPr>
        <w:pStyle w:val="ListBullet"/>
      </w:pPr>
      <w:r>
        <w:t>Beglaubigte Kopie: LausitzStorage und Pohlmann &amp; Pohlmann</w:t>
      </w:r>
    </w:p>
    <w:p>
      <w:pPr>
        <w:pStyle w:val="ListBullet"/>
      </w:pPr>
      <w:r>
        <w:t>Anhang zur Stellungnahme Bauernfeind in der Gesellschafterversammlung 24.06.2026 (Akte 40 Anlage 3)</w:t>
      </w:r>
    </w:p>
    <w:p>
      <w:pPr>
        <w:pStyle w:val="Heading2"/>
      </w:pPr>
      <w:r>
        <w:rPr>
          <w:rFonts w:ascii="Times New Roman" w:hAnsi="Times New Roman"/>
        </w:rPr>
        <w:t>VIII. Verbindung zur Step-Plan-Führung</w:t>
      </w:r>
    </w:p>
    <w:p>
      <w:pPr>
        <w:jc w:val="left"/>
      </w:pPr>
      <w:r>
        <w:t>Mit Vorlage dieses Protokolls in der Gesellschafterversammlung 24.06.2026 wird:</w:t>
      </w:r>
    </w:p>
    <w:p>
      <w:pPr>
        <w:pStyle w:val="ListBullet"/>
      </w:pPr>
      <w:r>
        <w:t xml:space="preserve">Tagesordnungspunkt 2 (Abberufung Bauernfeind) </w:t>
      </w:r>
      <w:r>
        <w:rPr>
          <w:b/>
        </w:rPr>
        <w:t>entscheidend entlastet</w:t>
      </w:r>
      <w:r>
        <w:t xml:space="preserve"> — der Vorwurf „Cap-Table-Manipulation" wird widerlegt im Sinne einer fehlenden Außenverwendung</w:t>
      </w:r>
    </w:p>
    <w:p>
      <w:pPr>
        <w:pStyle w:val="ListBullet"/>
      </w:pPr>
      <w:r>
        <w:t xml:space="preserve">Tagesordnungspunkt 8 (Sonderprüfung) </w:t>
      </w:r>
      <w:r>
        <w:rPr>
          <w:b/>
        </w:rPr>
        <w:t>noch nicht erübrigt</w:t>
      </w:r>
      <w:r>
        <w:t xml:space="preserve"> — Lindenthal kann auf eigene Untersuchungsbreite bestehen</w:t>
      </w:r>
    </w:p>
    <w:p>
      <w:pPr>
        <w:pStyle w:val="ListBullet"/>
      </w:pPr>
      <w:r>
        <w:t xml:space="preserve">Der Status der Statusplan-Führung im Step-Plan-Sheet </w:t>
      </w:r>
      <w:r>
        <w:t>25_step_plan_excel_lausitzstorage.xlsx</w:t>
      </w:r>
      <w:r>
        <w:t>, Reiter „Beteiligung" wird von gelb (offene Cap-Table-Frage) auf grün gesetzt; Aktenstücke 16, 17, 18 erhalten den Vermerk „forensisch geprüft, V2 nur intern, bereinigt 09.06.2026".</w:t>
      </w:r>
    </w:p>
    <w:p>
      <w:pPr>
        <w:pStyle w:val="Heading2"/>
      </w:pPr>
      <w:r>
        <w:rPr>
          <w:rFonts w:ascii="Times New Roman" w:hAnsi="Times New Roman"/>
        </w:rPr>
        <w:t>Normbezug</w:t>
      </w:r>
    </w:p>
    <w:p>
      <w:pPr>
        <w:pStyle w:val="ListBullet"/>
      </w:pPr>
      <w:r>
        <w:t>§§ 36, 37 SchfHwG (Sachverständigeneigenschaft Forensiker)</w:t>
      </w:r>
    </w:p>
    <w:p>
      <w:pPr>
        <w:pStyle w:val="ListBullet"/>
      </w:pPr>
      <w:r>
        <w:t>§ 51a GmbHG (Auskunftsrecht der Gesellschafter — entlastend belegt)</w:t>
      </w:r>
    </w:p>
    <w:p>
      <w:pPr>
        <w:pStyle w:val="ListBullet"/>
      </w:pPr>
      <w:r>
        <w:t>§ 43 Abs. 1 GmbHG (Sorgfaltspflicht — entlastend für Bauernfeind, soweit Außenkommunikation betroffen)</w:t>
      </w:r>
    </w:p>
    <w:p>
      <w:pPr>
        <w:pStyle w:val="ListBullet"/>
      </w:pPr>
      <w:r>
        <w:t>§ 263 StGB (Betrug — keine Anzeichen, da keine Vermögensverfügung Dritter auf Basis V2 erfolgt ist)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Inkubator-IT Cottbus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Inkubator-IT Cottbus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 Inkubator-IT: ICTC-2026/0609-Laus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