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Handelsregisterauszug</w:t>
      </w:r>
    </w:p>
    <w:p>
      <w:r>
        <w:rPr>
          <w:rFonts w:ascii="Times New Roman" w:hAnsi="Times New Roman"/>
          <w:b/>
          <w:i w:val="0"/>
          <w:sz w:val="22"/>
        </w:rPr>
        <w:t>Amtsgericht Fürth, Abteilung B, HRB 18442</w:t>
      </w:r>
    </w:p>
    <w:p>
      <w:r>
        <w:rPr>
          <w:rFonts w:ascii="Times New Roman" w:hAnsi="Times New Roman"/>
          <w:b w:val="0"/>
          <w:i w:val="0"/>
          <w:sz w:val="22"/>
        </w:rPr>
        <w:t>Abrufdatum: 03.02.2026, Abruf durch Kanzlei Rehbogen und Kollegen über das gemeinsame Registerportal der Länder.</w:t>
      </w:r>
    </w:p>
    <w:p>
      <w:pPr>
        <w:pStyle w:val="Heading2"/>
      </w:pPr>
      <w:r>
        <w:t>1 Firma und Sitz</w:t>
      </w:r>
    </w:p>
    <w:p>
      <w:r>
        <w:rPr>
          <w:rFonts w:ascii="Times New Roman" w:hAnsi="Times New Roman"/>
          <w:b w:val="0"/>
          <w:i w:val="0"/>
          <w:sz w:val="22"/>
        </w:rPr>
        <w:t>1.1 Firma: Neuralis MedTech GmbH.</w:t>
      </w:r>
    </w:p>
    <w:p>
      <w:r>
        <w:rPr>
          <w:rFonts w:ascii="Times New Roman" w:hAnsi="Times New Roman"/>
          <w:b w:val="0"/>
          <w:i w:val="0"/>
          <w:sz w:val="22"/>
        </w:rPr>
        <w:t>1.2 Sitz: Erlangen. Geschäftsanschrift: Henkestraße 91, 91054 Erlangen.</w:t>
      </w:r>
    </w:p>
    <w:p>
      <w:r>
        <w:rPr>
          <w:rFonts w:ascii="Times New Roman" w:hAnsi="Times New Roman"/>
          <w:b w:val="0"/>
          <w:i w:val="0"/>
          <w:sz w:val="22"/>
        </w:rPr>
        <w:t>1.3 Gegenstand: Entwicklung, klinische Erprobung, Zulassung und Vertrieb von Medizinprodukten der Neurotechnologie sowie zugehörige Softwareentwicklung.</w:t>
      </w:r>
    </w:p>
    <w:p>
      <w:pPr>
        <w:pStyle w:val="Heading2"/>
      </w:pPr>
      <w:r>
        <w:t>2 Stammkapital</w:t>
      </w:r>
    </w:p>
    <w:p>
      <w:r>
        <w:rPr>
          <w:rFonts w:ascii="Times New Roman" w:hAnsi="Times New Roman"/>
          <w:b w:val="0"/>
          <w:i w:val="0"/>
          <w:sz w:val="22"/>
        </w:rPr>
        <w:t>2.1 Stammkapital: 100000,00 EUR.</w:t>
      </w:r>
    </w:p>
    <w:p>
      <w:pPr>
        <w:pStyle w:val="Heading2"/>
      </w:pPr>
      <w:r>
        <w:t>3 Geschäftsführung, lfd. Eintragungen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Lfd. Nr.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Eintragung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14.11.2019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Ersteintragung. Geschäftsführer: Dr. Henrik Vogt, einzelvertretungsberechtigt, befreit von den Beschränkungen des Paragrafen 181 BGB.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22.05.2021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Kapitalerhöhung auf 100000,00 EUR nach Eintritt der FrankenHealth Ventures GmbH und der Frau Dr. Miriam Seidl.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06.03.2023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Neufassung des Gesellschaftsvertrags aufgrund Beschlusses vom 24.02.2023, Urkunde des Notars Dr. Alfons Reinboth, Urkundenrolle Nr. 214/2023.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19.09.2025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Neufassung Paragraf 6 und Paragraf 9 des Gesellschaftsvertrags (Sperrminorität, Vinkulierung) aufgrund Beschlusses vom 02.09.2025, Urkunde des Notars Dr. Alfons Reinboth, Urkundenrolle Nr. 501/2025.</w:t>
            </w:r>
          </w:p>
        </w:tc>
      </w:tr>
    </w:tbl>
    <w:p/>
    <w:p>
      <w:pPr>
        <w:pStyle w:val="Heading2"/>
      </w:pPr>
      <w:r>
        <w:t>4 Gesellschafter laut zuletzt eingereichter Liste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Geschäftsanteil Nr.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Nennbetrag EUR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Anteil Prozent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FrankenHealth Ventures GmbH, München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51000,00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51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Dr. Henrik Vogt, Erlangen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32000,00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Dr. Miriam Seidl, Nürnberg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17000,00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sz w:val="20"/>
              </w:rPr>
              <w:t>17</w:t>
            </w:r>
          </w:p>
        </w:tc>
      </w:tr>
    </w:tbl>
    <w:p/>
    <w:p>
      <w:pPr>
        <w:pStyle w:val="Heading2"/>
      </w:pPr>
      <w:r>
        <w:t>5 Vertretungsbefugnis, aktueller Stand</w:t>
      </w:r>
    </w:p>
    <w:p>
      <w:r>
        <w:rPr>
          <w:rFonts w:ascii="Times New Roman" w:hAnsi="Times New Roman"/>
          <w:b w:val="0"/>
          <w:i w:val="0"/>
          <w:sz w:val="22"/>
        </w:rPr>
        <w:t>Dr. Henrik Vogt ist einzelvertretungsberechtigter Geschäftsführer, befreit von den Beschränkungen des Paragrafen 181 BGB. Ein Prokurist ist nicht bestellt.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Fürth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Fürth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Abteilung B, HRB 18442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