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Notarielle Urkunde, Gesellschafterbeschluss vom 02.09.2025</w:t>
      </w:r>
    </w:p>
    <w:p>
      <w:r>
        <w:rPr>
          <w:rFonts w:ascii="Times New Roman" w:hAnsi="Times New Roman"/>
          <w:b w:val="0"/>
          <w:i w:val="0"/>
          <w:sz w:val="22"/>
        </w:rPr>
        <w:t>Urkundenrolle Nr. 501/2025 des Notars Dr. Alfons Reinboth, Erlangen</w:t>
      </w:r>
    </w:p>
    <w:p>
      <w:r>
        <w:rPr>
          <w:rFonts w:ascii="Times New Roman" w:hAnsi="Times New Roman"/>
          <w:b w:val="0"/>
          <w:i w:val="0"/>
          <w:sz w:val="22"/>
        </w:rPr>
        <w:t>Verhandelt in Erlangen am 02.09.2025. Vor mir erschienen die Gesellschafter der Neuralis MedTech GmbH und erklärten folgenden Beschluss:</w:t>
      </w:r>
    </w:p>
    <w:p>
      <w:pPr>
        <w:pStyle w:val="Heading2"/>
      </w:pPr>
      <w:r>
        <w:t>1 Vorgeschichte</w:t>
      </w:r>
    </w:p>
    <w:p>
      <w:r>
        <w:rPr>
          <w:rFonts w:ascii="Times New Roman" w:hAnsi="Times New Roman"/>
          <w:b w:val="0"/>
          <w:i w:val="0"/>
          <w:sz w:val="22"/>
        </w:rPr>
        <w:t>Im Frühjahr 2025 kam es zwischen der FrankenHealth Ventures GmbH und Dr. Henrik Vogt zum Streit über die Verschiebung der zweiten klinischen Studie und über eine beabsichtigte Lizenzierung der Patentfamilie NLM-4 an einen US-Partner. Dr. Vogt lehnte die Lizenzierung ab und drohte im Gesellschafterkreis mit Rücktritt als Geschäftsführer, falls seine Sperrposition nicht satzungsfest werde. Die Beteiligten einigten sich in der Folge auf die nachstehende Satzungsänderung als Kompromiss.</w:t>
      </w:r>
    </w:p>
    <w:p>
      <w:pPr>
        <w:pStyle w:val="Heading2"/>
      </w:pPr>
      <w:r>
        <w:t>2 Beschlossene Änderungen</w:t>
      </w:r>
    </w:p>
    <w:p>
      <w:r>
        <w:rPr>
          <w:rFonts w:ascii="Times New Roman" w:hAnsi="Times New Roman"/>
          <w:b w:val="0"/>
          <w:i w:val="0"/>
          <w:sz w:val="22"/>
        </w:rPr>
        <w:t>2.1 Paragraf 6.2 des Gesellschaftsvertrags wird um folgende Nummer 6.2.9 ergänzt: Der Lizenzierung, Übertragung oder ausschließlichen Nutzungsüberlassung von Patenten der Patentfamilie NLM-4 an Dritte außerhalb der Europäischen Union bedürfen einer Mehrheit von mindestens neunzig Prozent der abgegebenen Stimmen.</w:t>
      </w:r>
    </w:p>
    <w:p>
      <w:r>
        <w:rPr>
          <w:rFonts w:ascii="Times New Roman" w:hAnsi="Times New Roman"/>
          <w:b w:val="0"/>
          <w:i w:val="0"/>
          <w:sz w:val="22"/>
        </w:rPr>
        <w:t>2.2 Paragraf 6 des Gesellschaftsvertrags wird um folgenden Absatz 6.5 ergänzt: Solange Dr. Henrik Vogt Geschäftsführer und Gesellschafter mit einem Anteil von mindestens fünfundzwanzig Prozent ist, bedarf jede Änderung seines Ressorts Entwicklung, regulatorische Zulassung und klinische Kooperationen sowie jede Weisung, die eine laufende klinische Studie unmittelbar unterbricht, seiner Zustimmung. Diese Zustimmung gilt als Sperrminorität im operativen Bereich und lässt die Weisungsbefugnis der Gesellschafterversammlung im Übrigen unberührt.</w:t>
      </w:r>
    </w:p>
    <w:p>
      <w:r>
        <w:rPr>
          <w:rFonts w:ascii="Times New Roman" w:hAnsi="Times New Roman"/>
          <w:b w:val="0"/>
          <w:i w:val="0"/>
          <w:sz w:val="22"/>
        </w:rPr>
        <w:t>2.3 Paragraf 9.1 des Gesellschaftsvertrags wird dahin geändert, dass die Abtretung von Geschäftsanteilen an gesellschaftsfremde Dritte zusätzlich der Zustimmung des jeweils betroffenen Mitgesellschafters bedarf, dessen Anteil mindestens siebzehn Prozent beträgt (Vinkulierung zugunsten Dr. Seidl und Dr. Vogt).</w:t>
      </w:r>
    </w:p>
    <w:p>
      <w:pPr>
        <w:pStyle w:val="Heading2"/>
      </w:pPr>
      <w:r>
        <w:t>3 Abstimmungsergebnis</w:t>
      </w:r>
    </w:p>
    <w:p>
      <w:r>
        <w:rPr>
          <w:rFonts w:ascii="Times New Roman" w:hAnsi="Times New Roman"/>
          <w:b w:val="0"/>
          <w:i w:val="0"/>
          <w:sz w:val="22"/>
        </w:rPr>
        <w:t>Die FrankenHealth Ventures GmbH stimmte mit 51 Stimmen dafür. Dr. Henrik Vogt stimmte mit 32 Stimmen dafür. Dr. Miriam Seidl stimmte mit 17 Stimmen dafür. Der Beschluss wurde einstimmig gefasst und ist noch nicht im Handelsregister bekanntgemacht, jedoch bereits eingetragen.</w:t>
      </w:r>
    </w:p>
    <w:p>
      <w:pPr>
        <w:pStyle w:val="Heading2"/>
      </w:pPr>
      <w:r>
        <w:t>4 Erklärung der FrankenHealth Ventures GmbH zu Protokoll</w:t>
      </w:r>
    </w:p>
    <w:p>
      <w:r>
        <w:rPr>
          <w:rFonts w:ascii="Times New Roman" w:hAnsi="Times New Roman"/>
          <w:b w:val="0"/>
          <w:i w:val="0"/>
          <w:sz w:val="22"/>
        </w:rPr>
        <w:t>Der Vertreter der FrankenHealth Ventures GmbH erklärte, die Zustimmung erfolge, um Dr. Vogt als Schlüsselperson zu halten, nicht um ihm allgemeine Weisungsfreiheit einzuräumen. Die Änderung solle auf das Ressort Entwicklung und laufende Studien begrenzt bleiben.</w:t>
      </w:r>
    </w:p>
    <w:p>
      <w:r>
        <w:rPr>
          <w:rFonts w:ascii="Times New Roman" w:hAnsi="Times New Roman"/>
          <w:b w:val="0"/>
          <w:i w:val="0"/>
          <w:sz w:val="22"/>
        </w:rPr>
        <w:t>Erlangen, den 02.09.2025 - Dr. Alfons Reinboth, Notar</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Neuralis MedTech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Neuralis MedTech GmbH</w:t>
    </w:r>
  </w:p>
  <w:p>
    <w:pPr>
      <w:jc w:val="left"/>
      <w:pBdr>
        <w:bottom w:val="single" w:sz="6" w:space="2" w:color="7B2D3B"/>
      </w:pBdr>
    </w:pPr>
    <w:r>
      <w:rPr>
        <w:rFonts w:ascii="Times New Roman" w:hAnsi="Times New Roman"/>
        <w:color w:val="6B6B66"/>
        <w:sz w:val="16"/>
      </w:rPr>
      <w:t>Unternehmen · Urkundenrolle Nr. 501/2025 des Notars Dr. Alfons 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