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Steuerkanzlei Wengert und Partner</w:t>
      </w:r>
    </w:p>
    <w:p>
      <w:r>
        <w:rPr>
          <w:rFonts w:ascii="Times New Roman" w:hAnsi="Times New Roman"/>
          <w:b w:val="0"/>
          <w:i w:val="0"/>
          <w:sz w:val="22"/>
        </w:rPr>
        <w:t>Nürnberger Straße 62, 91052 Erlangen</w:t>
      </w:r>
    </w:p>
    <w:p>
      <w:r>
        <w:rPr>
          <w:rFonts w:ascii="Times New Roman" w:hAnsi="Times New Roman"/>
          <w:b w:val="0"/>
          <w:i w:val="0"/>
          <w:sz w:val="22"/>
        </w:rPr>
        <w:t>Telefon 09131 40 22 10</w:t>
      </w:r>
    </w:p>
    <w:p/>
    <w:p>
      <w:pPr>
        <w:pStyle w:val="Heading1"/>
      </w:pPr>
      <w:r>
        <w:t>Stellungnahme zu bAV-Auswirkungen und Zusagen</w:t>
      </w:r>
    </w:p>
    <w:p>
      <w:r>
        <w:rPr>
          <w:rFonts w:ascii="Times New Roman" w:hAnsi="Times New Roman"/>
          <w:b w:val="0"/>
          <w:i w:val="0"/>
          <w:sz w:val="22"/>
        </w:rPr>
        <w:t>Mandantin: Neuralis MedTech GmbH - Erlangen, den 03.04.2026</w:t>
      </w:r>
    </w:p>
    <w:p>
      <w:pPr>
        <w:pStyle w:val="Heading2"/>
      </w:pPr>
      <w:r>
        <w:t>1 Anlass</w:t>
      </w:r>
    </w:p>
    <w:p>
      <w:r>
        <w:rPr>
          <w:rFonts w:ascii="Times New Roman" w:hAnsi="Times New Roman"/>
          <w:b w:val="0"/>
          <w:i w:val="0"/>
          <w:sz w:val="22"/>
        </w:rPr>
        <w:t>Im Rahmen des laufenden Statusfeststellungsverfahrens bittet die Geschäftsführung um Einschätzung, welche steuerlichen und betriebsrentenrechtlichen Folgen eine rückwirkende Feststellung der Sozialversicherungspflicht von Herrn Dr. Vogt hätte.</w:t>
      </w:r>
    </w:p>
    <w:p>
      <w:pPr>
        <w:pStyle w:val="Heading2"/>
      </w:pPr>
      <w:r>
        <w:t>2 Betriebliche Altersversorgung</w:t>
      </w:r>
    </w:p>
    <w:p>
      <w:r>
        <w:rPr>
          <w:rFonts w:ascii="Times New Roman" w:hAnsi="Times New Roman"/>
          <w:b w:val="0"/>
          <w:i w:val="0"/>
          <w:sz w:val="22"/>
        </w:rPr>
        <w:t>Herr Dr. Vogt hat im Jahr 2021 eine Pensionszusage der Gesellschaft in Höhe von 800 EUR monatlicher Anwartschaft ab Vollendung des 67. Lebensjahres erhalten. Diese Zusage wurde als Vorstands- beziehungsweise Gesellschafter-Geschäftsführer-Zusage bilanziert. Bei rückwirkender Feststellung der Beschäftigung ist zu prüfen, ob die Zusage als beherrschender Gesellschafter-Geschäftsführer im Sinne der körperschaftsteuerlichen Rechtsprechung zu verdeckten Gewinnausschüttungen führt. Da Herr Dr. Vogt mit 32 Prozent nicht beherrschend im körperschaftsteuerlichen Sinne ist, ist dieses Risiko nachrangig.</w:t>
      </w:r>
    </w:p>
    <w:p>
      <w:pPr>
        <w:pStyle w:val="Heading2"/>
      </w:pPr>
      <w:r>
        <w:t>3 Lohnsteuerliche Behandlung</w:t>
      </w:r>
    </w:p>
    <w:p>
      <w:r>
        <w:rPr>
          <w:rFonts w:ascii="Times New Roman" w:hAnsi="Times New Roman"/>
          <w:b w:val="0"/>
          <w:i w:val="0"/>
          <w:sz w:val="22"/>
        </w:rPr>
        <w:t>Die bisherige Vergütung wurde als Geschäftsführervergüting ohne Lohnsteuerabzug im engeren Sinne, jedoch mit Lohnsteuerabzug analog Paragraf 19 EStG behandelt, da die Vergüting bereits als Arbeitslohn deklariert wurde. Eine sozialversicherungsrechtliche Nachforderung ändert an der bisherigen lohnsteuerlichen Behandlung nichts Wesentliches.</w:t>
      </w:r>
    </w:p>
    <w:p>
      <w:pPr>
        <w:pStyle w:val="Heading2"/>
      </w:pPr>
      <w:r>
        <w:t>4 Gesellschafterdarlehen</w:t>
      </w:r>
    </w:p>
    <w:p>
      <w:r>
        <w:rPr>
          <w:rFonts w:ascii="Times New Roman" w:hAnsi="Times New Roman"/>
          <w:b w:val="0"/>
          <w:i w:val="0"/>
          <w:sz w:val="22"/>
        </w:rPr>
        <w:t>Herr Dr. Vogt hat der Gesellschaft im Jahr 2024 ein Gesellschafterdarlehen über 60000,00 EUR zu einem Zinssatz von drei Prozent gewährt. Bei rückwirkender Feststellung der Beschäftigung bleibt dieses Darlehen zivilrechtlich unberührt; es kann jedoch im Statusfeststellungsverfahren als zusätzliches Indiz für Unternehmerrisiko angeführt werden.</w:t>
      </w:r>
    </w:p>
    <w:p>
      <w:pPr>
        <w:pStyle w:val="Heading2"/>
      </w:pPr>
      <w:r>
        <w:t>5 Empfehlung</w:t>
      </w:r>
    </w:p>
    <w:p>
      <w:r>
        <w:rPr>
          <w:rFonts w:ascii="Times New Roman" w:hAnsi="Times New Roman"/>
          <w:b w:val="0"/>
          <w:i w:val="0"/>
          <w:sz w:val="22"/>
        </w:rPr>
        <w:t>Aus steuerlicher Sicht bestehen gegen eine rückwirkende Feststellung keine durchgreifenden Bedenken. Eine Rücklage für die mögliche Beitragsnachforderung in Höhe der Berechnung der Kanzlei Rehbogen wird empfohlen.</w:t>
      </w:r>
    </w:p>
    <w:p>
      <w:r>
        <w:rPr>
          <w:rFonts w:ascii="Times New Roman" w:hAnsi="Times New Roman"/>
          <w:b w:val="0"/>
          <w:i w:val="0"/>
          <w:sz w:val="22"/>
        </w:rPr>
        <w:t>Dipl.-Kfm. Sören Wengert, Steuerberater</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Neuralis MedTech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Neuralis MedTech GmbH</w:t>
    </w:r>
  </w:p>
  <w:p>
    <w:pPr>
      <w:jc w:val="left"/>
      <w:pBdr>
        <w:bottom w:val="single" w:sz="6" w:space="2" w:color="7B2D3B"/>
      </w:pBdr>
    </w:pPr>
    <w:r>
      <w:rPr>
        <w:rFonts w:ascii="Times New Roman" w:hAnsi="Times New Roman"/>
        <w:color w:val="6B6B66"/>
        <w:sz w:val="16"/>
      </w:rPr>
      <w:t>den 03.04.2026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