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Protokoll der ordentlichen Gesellschafterversammlung vom 18.07.2024</w:t>
      </w:r>
    </w:p>
    <w:p>
      <w:r>
        <w:rPr>
          <w:rFonts w:ascii="Times New Roman" w:hAnsi="Times New Roman"/>
          <w:b w:val="0"/>
          <w:i w:val="0"/>
          <w:sz w:val="22"/>
        </w:rPr>
        <w:t>Neuralis MedTech GmbH - ordentliche Versammlung, Beginn 10:00 Uhr, Ende 12:15 Uhr, Geschäftsräume Henkestraße 91</w:t>
      </w:r>
    </w:p>
    <w:p>
      <w:pPr>
        <w:pStyle w:val="Heading2"/>
      </w:pPr>
      <w:r>
        <w:t>1 Anwesende</w:t>
      </w:r>
    </w:p>
    <w:p>
      <w:r>
        <w:rPr>
          <w:rFonts w:ascii="Times New Roman" w:hAnsi="Times New Roman"/>
          <w:b w:val="0"/>
          <w:i w:val="0"/>
          <w:sz w:val="22"/>
        </w:rPr>
        <w:t>Torben Aldenhoven für FrankenHealth Ventures GmbH (51 Stimmen), Dr. Henrik Vogt (32 Stimmen), Dr. Miriam Seidl (17 Stimmen), Prof. Dr. Cornelius Baumhauer als Gast (Beiratsvorsitzender, kein Stimmrecht).</w:t>
      </w:r>
    </w:p>
    <w:p>
      <w:pPr>
        <w:pStyle w:val="Heading2"/>
      </w:pPr>
      <w:r>
        <w:t>2 Tagesordnung</w:t>
      </w:r>
    </w:p>
    <w:p>
      <w:r>
        <w:rPr>
          <w:rFonts w:ascii="Times New Roman" w:hAnsi="Times New Roman"/>
          <w:b w:val="0"/>
          <w:i w:val="0"/>
          <w:sz w:val="22"/>
        </w:rPr>
        <w:t>2.1 Feststellung des Jahresabschlusses 2023.</w:t>
      </w:r>
    </w:p>
    <w:p>
      <w:r>
        <w:rPr>
          <w:rFonts w:ascii="Times New Roman" w:hAnsi="Times New Roman"/>
          <w:b w:val="0"/>
          <w:i w:val="0"/>
          <w:sz w:val="22"/>
        </w:rPr>
        <w:t>2.2 Beschlussfassung über die variable Vergütung des Geschäftsführers für 2023.</w:t>
      </w:r>
    </w:p>
    <w:p>
      <w:r>
        <w:rPr>
          <w:rFonts w:ascii="Times New Roman" w:hAnsi="Times New Roman"/>
          <w:b w:val="0"/>
          <w:i w:val="0"/>
          <w:sz w:val="22"/>
        </w:rPr>
        <w:t>2.3 Bericht zum Stand der klinischen Studie und zur Zulassung.</w:t>
      </w:r>
    </w:p>
    <w:p>
      <w:pPr>
        <w:pStyle w:val="Heading2"/>
      </w:pPr>
      <w:r>
        <w:t>3 Beschlüsse</w:t>
      </w:r>
    </w:p>
    <w:p>
      <w:r>
        <w:rPr>
          <w:rFonts w:ascii="Times New Roman" w:hAnsi="Times New Roman"/>
          <w:b w:val="0"/>
          <w:i w:val="0"/>
          <w:sz w:val="22"/>
        </w:rPr>
        <w:t>Zu 2.1: Der Jahresabschluss 2023 wird einstimmig festgestellt.</w:t>
      </w:r>
    </w:p>
    <w:p>
      <w:r>
        <w:rPr>
          <w:rFonts w:ascii="Times New Roman" w:hAnsi="Times New Roman"/>
          <w:b w:val="0"/>
          <w:i w:val="0"/>
          <w:sz w:val="22"/>
        </w:rPr>
        <w:t>Zu 2.2: Der Beirat hatte empfohlen, die variable Vergütung wegen verfehlter Meilensteine (CE-Zulassung verzögert) auf 0 EUR festzusetzen. Nach Diskussion beschließt die Versammlung mit 68 von 100 Stimmen (FrankenHealth Ventures GmbH dafür, Dr. Vogt dagegen, Dr. Seidl dafür), die variable Vergütung für 2023 ersatzlos zu streichen. Dr. Vogt hält dies für nicht sachgerecht, da die Verzögerung auf einer Anforderung der Benannten Stelle beruhe, auf die er keinen Einfluss habe.</w:t>
      </w:r>
    </w:p>
    <w:p>
      <w:r>
        <w:rPr>
          <w:rFonts w:ascii="Times New Roman" w:hAnsi="Times New Roman"/>
          <w:b w:val="0"/>
          <w:i w:val="0"/>
          <w:sz w:val="22"/>
        </w:rPr>
        <w:t>Zu 2.3: Kenntnisnahme ohne Beschluss.</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Neuralis MedTech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Neuralis MedTech GmbH</w:t>
    </w:r>
  </w:p>
  <w:p>
    <w:pPr>
      <w:jc w:val="left"/>
      <w:pBdr>
        <w:bottom w:val="single" w:sz="6" w:space="2" w:color="7B2D3B"/>
      </w:pBdr>
    </w:pPr>
    <w:r>
      <w:rPr>
        <w:rFonts w:ascii="Times New Roman" w:hAnsi="Times New Roman"/>
        <w:color w:val="6B6B66"/>
        <w:sz w:val="16"/>
      </w:rPr>
      <w:t>Beginn 10:00 Uhr, Ende 12:15 Uhr, Geschäftsräume Henkestraße 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