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w:t>
      </w:r>
    </w:p>
    <w:p>
      <w:pPr>
        <w:jc w:val="left"/>
      </w:pPr>
      <w:r>
        <w:rPr>
          <w:b/>
        </w:rPr>
        <w:t>Amtsgericht Nürnberg</w:t>
      </w:r>
      <w:r>
        <w:t xml:space="preserve"> — Ermittlungsrichter —</w:t>
      </w:r>
    </w:p>
    <w:p>
      <w:pPr>
        <w:jc w:val="left"/>
      </w:pPr>
      <w:r>
        <w:t>Flaschenhofstraße 35 · 90402 Nürnberg</w:t>
      </w:r>
    </w:p>
    <w:p>
      <w:pPr>
        <w:jc w:val="left"/>
      </w:pPr>
      <w:r>
        <w:t>Geschäftsnummer: 57 Gs 1289/26</w:t>
      </w:r>
    </w:p>
    <w:p>
      <w:pPr>
        <w:jc w:val="left"/>
      </w:pPr>
      <w:r>
        <w:t>Bezug: Staatsanwaltschaft Nürnberg-Fürth, 507 Js 2214/26</w:t>
      </w:r>
    </w:p>
    <w:p>
      <w:pPr>
        <w:jc w:val="left"/>
      </w:pPr>
      <w:r>
        <w:t>Nürnberg, den 24. März 2026</w:t>
      </w:r>
    </w:p>
    <w:p>
      <w:pPr>
        <w:jc w:val="left"/>
      </w:pPr>
      <w:r>
        <w:t>In dem Ermittlungsverfahren gegen</w:t>
      </w:r>
    </w:p>
    <w:p>
      <w:pPr>
        <w:jc w:val="left"/>
      </w:pPr>
      <w:r>
        <w:rPr>
          <w:b/>
        </w:rPr>
        <w:t>Robert Zellinger</w:t>
      </w:r>
      <w:r>
        <w:t>, geboren am 14.03.1971 in Schwabach, wohnhaft Am Tiergarten 27, 90480 Nürnberg,</w:t>
      </w:r>
    </w:p>
    <w:p>
      <w:pPr>
        <w:jc w:val="left"/>
      </w:pPr>
      <w:r>
        <w:t>wegen Verdachts des Betruges u. a.</w:t>
      </w:r>
    </w:p>
    <w:p>
      <w:pPr>
        <w:jc w:val="left"/>
      </w:pPr>
      <w:r>
        <w:t>wird auf Antrag der Staatsanwaltschaft Nürnberg-Fürth angeordnet:</w:t>
      </w:r>
    </w:p>
    <w:p>
      <w:pPr>
        <w:jc w:val="left"/>
      </w:pPr>
      <w:r>
        <w:t>1 Durchsuchung</w:t>
      </w:r>
    </w:p>
    <w:p>
      <w:pPr>
        <w:jc w:val="left"/>
      </w:pPr>
      <w:r>
        <w:t>1.1 Die Durchsuchung der Geschäftsräume der Frankenland Kapitalpartner GmbH, Fürther Straße 98, 90429 Nürnberg, einschließlich sämtlicher Neben-, Lager- und Kellerräume sowie der dort abgestellten Firmenfahrzeuge (§§ 102, 105 StPO).</w:t>
      </w:r>
    </w:p>
    <w:p>
      <w:pPr>
        <w:jc w:val="left"/>
      </w:pPr>
      <w:r>
        <w:t>1.2 Die Durchsuchung der Wohnung des Beschuldigten, Am Tiergarten 27, 90480 Nürnberg, einschließlich Nebenräumen, Garagen und der auf den Beschuldigten zugelassenen Kraftfahrzeuge (§§ 102, 105 StPO).</w:t>
      </w:r>
    </w:p>
    <w:p>
      <w:pPr>
        <w:jc w:val="left"/>
      </w:pPr>
      <w:r>
        <w:t>1.3 Die Durchsuchung der Person des Beschuldigten und der ihm gehörenden Sachen.</w:t>
      </w:r>
    </w:p>
    <w:p>
      <w:pPr>
        <w:jc w:val="left"/>
      </w:pPr>
      <w:r>
        <w:t>2 Sicherstellung</w:t>
      </w:r>
    </w:p>
    <w:p>
      <w:pPr>
        <w:jc w:val="left"/>
      </w:pPr>
      <w:r>
        <w:t>2.1 Zugleich wird die Beschlagnahme der bei der Durchsuchung aufgefundenen Beweismittel angeordnet (§§ 94, 98 StPO), namentlich: Beteiligungs- und Zeichnungsverträge, Anlegerverzeichnisse, Prospekte und Vertriebsunterlagen, Buchhaltungsunterlagen einschließlich Kontoauszügen und Belegen ab dem 01.01.2023, Schriftverkehr mit Anlegern und Vermittlern, elektronische Datenträger, Mobiltelefone und E-Mail-Bestände, soweit sie als Beweismittel für die Mittelverwendung der eingeworbenen Anlegergelder von Bedeutung sein können.</w:t>
      </w:r>
    </w:p>
    <w:p>
      <w:pPr>
        <w:jc w:val="left"/>
      </w:pPr>
      <w:r>
        <w:t>3 Gründe</w:t>
      </w:r>
    </w:p>
    <w:p>
      <w:pPr>
        <w:jc w:val="left"/>
      </w:pPr>
      <w:r>
        <w:t>3.1 Der Beschuldigte ist verdächtig, als Geschäftsführer der Frankenland Kapitalpartner GmbH seit Februar 2023 in einer Vielzahl von Fällen Anleger über die Verwendung ihrer Einlagen getäuscht und hierdurch gewerbsmäßig einen Vermögensvorteil großen Ausmaßes erlangt zu haben (§ 263 Abs. 1, Abs. 3 Satz 2 Nr. 1 und Nr. 2 StGB, § 264a StGB). Nach der Anzeige des Geschädigten Dr. Kronawitter und den polizeilichen Vorermittlungen wurden Beteiligungen an Photovoltaik-Projekten mit einer Ausschüttung von 8 Prozent pro Jahr vertrieben; im Marktstammdatenregister sind jedoch keine Erzeugungseinheiten der Gesellschaft verzeichnet, und ein früherer Vertriebsmitarbeiter hat geäußert, Anlegergelder würden „im Kreis geschoben". Seit Februar 2026 sind die Auszahlungen eingestellt.</w:t>
      </w:r>
    </w:p>
    <w:p>
      <w:pPr>
        <w:jc w:val="left"/>
      </w:pPr>
      <w:r>
        <w:t>3.2 Es ist zu erwarten, dass die Durchsuchung zum Auffinden der unter Ziffer 2.1 bezeichneten Beweismittel führt, die über den Umfang der eingeworbenen Gelder, die tatsächliche Mittelverwendung und die Kenntnis des Beschuldigten Aufschluss geben. Die Maßnahme ist verhältnismäßig; ein milderes, gleich geeignetes Mittel ist angesichts der Gefahr der Beweismittelvernichtung nicht ersichtlich. Die Bedeutung der Sache — der mutmaßliche Gesamtschaden liegt nach vorläufiger Schätzung im siebenstelligen Bereich — steht außer Verhältnis zu dem mit der Durchsuchung verbundenen Eingriff nicht entgegen.</w:t>
      </w:r>
    </w:p>
    <w:p>
      <w:pPr>
        <w:jc w:val="left"/>
      </w:pPr>
      <w:r>
        <w:t>Dr. Hellwig</w:t>
      </w:r>
    </w:p>
    <w:p>
      <w:pPr>
        <w:jc w:val="left"/>
      </w:pPr>
      <w:r>
        <w:t>Richter am Amtsgericht</w:t>
      </w:r>
    </w:p>
    <w:p>
      <w:pPr>
        <w:jc w:val="left"/>
      </w:pPr>
      <w:r>
        <w:rPr>
          <w:b/>
        </w:rPr>
        <w:t>Rechtsbehelfsbelehrung:</w:t>
      </w:r>
      <w:r>
        <w:t xml:space="preserve"> Gegen diesen Beschluss ist die Beschwerde nach § 304 StPO statthaft. Sie kann beim Amtsgericht Nürnberg oder beim Landgericht Nürnberg-Fürth schriftlich oder zu Protokoll der Geschäftsstelle eingelegt werden.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Nürnberg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Nürnberg</w:t>
    </w:r>
  </w:p>
  <w:p>
    <w:pPr>
      <w:jc w:val="left"/>
      <w:pBdr>
        <w:bottom w:val="single" w:sz="6" w:space="2" w:color="3B3F45"/>
      </w:pBdr>
    </w:pPr>
    <w:r>
      <w:rPr>
        <w:rFonts w:ascii="Times New Roman" w:hAnsi="Times New Roman"/>
        <w:color w:val="6B6B66"/>
        <w:sz w:val="16"/>
      </w:rPr>
      <w:t>Gericht · 57 Gs 1289/26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