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Anklageschrift — ENTWURF (Stand 30.06.2026, hausintern)</w:t>
      </w:r>
    </w:p>
    <w:p>
      <w:pPr>
        <w:jc w:val="left"/>
      </w:pPr>
      <w:r>
        <w:rPr>
          <w:b/>
        </w:rPr>
        <w:t>Staatsanwaltschaft Nürnberg-Fürth</w:t>
      </w:r>
    </w:p>
    <w:p>
      <w:pPr>
        <w:jc w:val="left"/>
      </w:pPr>
      <w:r>
        <w:t>Fürther Straße 110 · 90429 Nürnberg · Telefon 0911 321-01</w:t>
      </w:r>
    </w:p>
    <w:p>
      <w:pPr>
        <w:jc w:val="left"/>
      </w:pPr>
      <w:r>
        <w:t>Aktenzeichen: 507 Js 2214/26</w:t>
      </w:r>
    </w:p>
    <w:p>
      <w:pPr>
        <w:jc w:val="left"/>
      </w:pPr>
      <w:r>
        <w:t>Nürnberg, den 30. Juni 2026</w:t>
      </w:r>
    </w:p>
    <w:p>
      <w:pPr>
        <w:jc w:val="left"/>
      </w:pPr>
      <w:r>
        <w:rPr>
          <w:b/>
        </w:rPr>
        <w:t>ENTWURF — noch nicht abverfügt. Interner Bearbeitungsvermerk am Ende beachten.</w:t>
      </w:r>
    </w:p>
    <w:p>
      <w:pPr>
        <w:jc w:val="left"/>
      </w:pPr>
      <w:r>
        <w:t>An das</w:t>
      </w:r>
    </w:p>
    <w:p>
      <w:pPr>
        <w:jc w:val="left"/>
      </w:pPr>
      <w:r>
        <w:t>Landgericht Nürnberg-Fürth</w:t>
      </w:r>
    </w:p>
    <w:p>
      <w:pPr>
        <w:jc w:val="left"/>
      </w:pPr>
      <w:r>
        <w:t>— 12. Strafkammer als Wirtschaftsstrafkammer —</w:t>
      </w:r>
    </w:p>
    <w:p>
      <w:pPr>
        <w:jc w:val="left"/>
      </w:pPr>
      <w:r>
        <w:t>Fürther Straße 110</w:t>
      </w:r>
    </w:p>
    <w:p>
      <w:pPr>
        <w:jc w:val="left"/>
      </w:pPr>
      <w:r>
        <w:t>90429 Nürnberg</w:t>
      </w:r>
    </w:p>
    <w:p>
      <w:pPr>
        <w:pStyle w:val="Heading2"/>
      </w:pPr>
      <w:r>
        <w:rPr>
          <w:rFonts w:ascii="Times New Roman" w:hAnsi="Times New Roman"/>
        </w:rPr>
        <w:t>Anklageschrift</w:t>
      </w:r>
    </w:p>
    <w:p>
      <w:pPr>
        <w:jc w:val="left"/>
      </w:pPr>
      <w:r>
        <w:t xml:space="preserve">Der Geschäftsmann </w:t>
      </w:r>
      <w:r>
        <w:rPr>
          <w:b/>
        </w:rPr>
        <w:t>Robert Zellinger</w:t>
      </w:r>
      <w:r>
        <w:t>, geboren am 14.03.1971 in Schwabach, wohnhaft Am Tiergarten 27, 90480 Nürnberg, deutscher Staatsangehöriger, verheiratet, nicht vorbestraft, auf freiem Fuß,</w:t>
      </w:r>
    </w:p>
    <w:p>
      <w:pPr>
        <w:jc w:val="left"/>
      </w:pPr>
      <w:r>
        <w:t>Verteidiger: Rechtsanwalt Dr. Matthias Grundhöfer, Nürnberg,</w:t>
      </w:r>
    </w:p>
    <w:p>
      <w:pPr>
        <w:jc w:val="left"/>
      </w:pPr>
      <w:r>
        <w:t>wird angeklagt,</w:t>
      </w:r>
    </w:p>
    <w:p>
      <w:pPr>
        <w:jc w:val="left"/>
      </w:pPr>
      <w:r>
        <w:t>in Nürnberg in der Zeit vom Februar 2023 bis Februar 2026 durch 61 selbständige Handlungen in der Absicht, sich durch wiederholte Tatbegehung eine Einnahmequelle von einigem Umfang und einiger Dauer zu verschaffen, das Vermögen anderer dadurch beschädigt zu haben, dass er durch Vorspiegelung falscher Tatsachen Irrtümer erregte und die Getäuschten hierdurch zu Vermögensverfügungen bestimmte, wobei er einen Vermögensverlust großen Ausmaßes herbeiführte,</w:t>
      </w:r>
    </w:p>
    <w:p>
      <w:pPr>
        <w:jc w:val="left"/>
      </w:pPr>
      <w:r>
        <w:rPr>
          <w:b/>
        </w:rPr>
        <w:t>Verbrechen und Vergehen, strafbar als Betrug in 61 tatmehrheitlichen Fällen, jeweils im besonders schweren Fall, in Tateinheit mit Kapitalanlagebetrug, gemäß § 263 Abs. 1, Abs. 3 Satz 2 Nr. 1 Var. 1 und Nr. 2 Var. 1 StGB, § 264a Abs. 1 Nr. 1 StGB, §§ 52, 53 StGB.</w:t>
      </w:r>
    </w:p>
    <w:p>
      <w:pPr>
        <w:jc w:val="left"/>
      </w:pPr>
      <w:r>
        <w:t>1 Wesentliches Ergebnis der Ermittlungen (gekürzt)</w:t>
      </w:r>
    </w:p>
    <w:p>
      <w:pPr>
        <w:jc w:val="left"/>
      </w:pPr>
      <w:r>
        <w:t xml:space="preserve">1.1 Der Angeschuldigte war einziger Geschäftsführer der Frankenland Kapitalpartner GmbH (AG Nürnberg, HRB 41277). Unter der Bezeichnung „Projektbeteiligung Photovoltaik Franken" warb er ab Februar 2023 mit Prospekten und über ein dreiköpfiges Vertriebsteam Kapitalanlagen ein, die angeblich unmittelbar in Photovoltaik-Projekte fließen und eine Ausschüttung von 8 Prozent pro Jahr erbringen sollten. Auf diese Weise zahlten bis Februar 2026 </w:t>
      </w:r>
      <w:r>
        <w:rPr>
          <w:b/>
        </w:rPr>
        <w:t>61 Anleger insgesamt 4.200.000,00 EUR</w:t>
      </w:r>
      <w:r>
        <w:t xml:space="preserve"> auf das Geschäftskonto bei der Frankenbank Nürnberg eG ein (Anlegerliste, Sonderband Finanzermittlungen Bl. 5–7).</w:t>
      </w:r>
    </w:p>
    <w:p>
      <w:pPr>
        <w:jc w:val="left"/>
      </w:pPr>
      <w:r>
        <w:t>1.2 Tatsächlich flossen lediglich 945.000,00 EUR (22,5 Prozent der Einlagen) in als Projektinvestitionen deklarierte Zahlungen; Projekterträge gingen nur 2024 und nur in Höhe von 45.616,42 EUR ein. Die den Anlegern monatlich ausgezahlten „Renditen" von insgesamt 455.433,69 EUR sowie Kapitalrückzahlungen von 250.000,00 EUR an drei kündigende Anleger wurden jedenfalls ab [</w:t>
      </w:r>
      <w:r>
        <w:rPr>
          <w:b/>
        </w:rPr>
        <w:t>einsetzen: Monat des Kipppunkts, siehe Vermerk unten</w:t>
      </w:r>
      <w:r>
        <w:t>] ausschließlich aus den Einzahlungen neu geworbener Anleger bedient (Schneeballsystem). Der Angeschuldigte entnahm zudem 805.500,00 EUR für private Zwecke, darunter 85.000,00 EUR für eine Eigentumswohnung in Kitzbühel und 38.500,00 EUR für einen bar bezahlten Pkw.</w:t>
      </w:r>
    </w:p>
    <w:p>
      <w:pPr>
        <w:jc w:val="left"/>
      </w:pPr>
      <w:r>
        <w:t>1.3 Der Angeschuldigte wusste spätestens seit dem Spätsommer 2024, dass Projektinvestitionen nicht mehr erfolgten und die Auszahlungen aus Neueinlagen bedient wurden. Das belegt seine E-Mail vom 17.09.2024 an das Vertriebsteam (Sonderband EDV Bl. 27), wonach die „Projektschiene" hinten angestellt werde und die Auszahlungen „aus dem Bestand" liefen, sowie die Aussage der Zeugin Meckel (Bl. 70–76 d. A.). Gleichwohl ließ er den Vertrieb unverändert mit der Projektverwendung werben. Seine wechselnde Einlassung — zunächst „sämtliche Gelder in den Projekten" (Bl. 32–38 d. A.), sodann „zwischengeparkt" und „zu spät die Reißleine gezogen" (Bl. 84–90 d. A.) — ist als widerlegt beziehungsweise als Teilgeständnis zu würdigen.</w:t>
      </w:r>
    </w:p>
    <w:p>
      <w:pPr>
        <w:jc w:val="left"/>
      </w:pPr>
      <w:r>
        <w:t>2 Beweismittel (Auszug)</w:t>
      </w:r>
    </w:p>
    <w:p>
      <w:pPr>
        <w:jc w:val="left"/>
      </w:pPr>
      <w:r>
        <w:t>2.1 Zeugen: Dr. Heinz Kronawitter; Sandra Meckel; Jürgen Plaschke; Carola Wiedenbrück; KHK Salzner.</w:t>
      </w:r>
    </w:p>
    <w:p>
      <w:pPr>
        <w:jc w:val="left"/>
      </w:pPr>
      <w:r>
        <w:t>2.2 Urkunden und Augenschein: Monatsübersicht Geschäftskonto 02/2023–03/2026 und Anlegerliste (Sonderband Finanzermittlungen); E-Mail vom 17.09.2024 nebst zwei weiteren Nachrichten (Sonderband EDV Bl. 25–29); WhatsApp-Verlauf Zellinger/Meckel (Sonderband EDV, Ordner „whatsapp"); Sicherstellungsverzeichnis vom 14.04.2026 (Bl. 29–31 d. A.); Arrestbeschluss vom 13.04.2026 (57 Gs 1544/26).</w:t>
      </w:r>
    </w:p>
    <w:p>
      <w:pPr>
        <w:jc w:val="left"/>
      </w:pPr>
      <w:r>
        <w:t>3 Anträge</w:t>
      </w:r>
    </w:p>
    <w:p>
      <w:pPr>
        <w:jc w:val="left"/>
      </w:pPr>
      <w:r>
        <w:t>Es wird beantragt, das Hauptverfahren vor der 12. Strafkammer des Landgerichts Nürnberg-Fürth als Wirtschaftsstrafkammer zu eröffnen (§ 74c Abs. 1 Satz 1 Nr. 5 GVG) und die Anklage zur Hauptverhandlung zuzulassen. Die Einziehung des Wertes von Taterträgen in Höhe von 4.200.000,00 EUR wird beantragt werden (§§ 73, 73c StGB).</w:t>
      </w:r>
    </w:p>
    <w:p>
      <w:pPr>
        <w:jc w:val="left"/>
      </w:pPr>
      <w:r>
        <w:t>Dr. Falkner</w:t>
      </w:r>
    </w:p>
    <w:p>
      <w:pPr>
        <w:jc w:val="left"/>
      </w:pPr>
      <w:r>
        <w:t>Staatsanwältin</w:t>
      </w:r>
    </w:p>
    <w:p/>
    <w:p>
      <w:pPr>
        <w:jc w:val="left"/>
      </w:pPr>
      <w:r>
        <w:rPr>
          <w:b/>
        </w:rPr>
        <w:t>Interner Vermerk der Dezernentin (nicht für die Akte der Verteidigung):</w:t>
      </w:r>
    </w:p>
    <w:p>
      <w:pPr>
        <w:jc w:val="left"/>
      </w:pPr>
      <w:r>
        <w:t xml:space="preserve">Der Entwurf ist in Ziffer 1.2 noch lückenhaft. Die Grobauswertung des K 25 (Bl. 61–64 d. A.) weist die Jahressummen aus, datiert aber den </w:t>
      </w:r>
      <w:r>
        <w:rPr>
          <w:b/>
        </w:rPr>
        <w:t>Kipppunkt nicht monatsgenau</w:t>
      </w:r>
      <w:r>
        <w:t>: (a) letzter Monat mit einer Projektinvestition, (b) erster Monat, ab dem die Auszahlungen an Anleger mangels sonstiger Einnahmen denknotwendig nur noch aus Neueinlagen stammen konnten. Beides ist aus der Monatsübersicht (Sonderband Finanzermittlungen Bl. 3–4) zu errechnen und vor Abverfügung einzusetzen; ebenso ist die Formulierung „jedenfalls ab" in Ziffer 1.2 durch das konkrete Datum zu ersetzen. K 25 um ergänzende Feinauswertung gebeten, Wiedervorlage 14.07.2026.</w:t>
      </w:r>
    </w:p>
    <w:p>
      <w:pPr>
        <w:jc w:val="left"/>
      </w:pPr>
      <w:r>
        <w:t>Dr. Falkner, StAin, 30.06.2026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Nürnberg-Fürth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Nürnberg-Fürth</w:t>
    </w:r>
  </w:p>
  <w:p>
    <w:pPr>
      <w:jc w:val="left"/>
      <w:pBdr>
        <w:bottom w:val="single" w:sz="6" w:space="2" w:color="3B3F45"/>
      </w:pBdr>
    </w:pPr>
    <w:r>
      <w:rPr>
        <w:rFonts w:ascii="Times New Roman" w:hAnsi="Times New Roman"/>
        <w:color w:val="6B6B66"/>
        <w:sz w:val="16"/>
      </w:rPr>
      <w:t>Gericht · Aktenzeichen: 507 Js 2214/26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