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Landgericht Magdeburg, Schwurgerichtskammer 1 | Staatsanwaltschaft Magdeburg, 1 Js 5582/26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306 StGB, Paragraf 306a StGB, Paragraf 263 StGB, Paragraf 112 StPO, Paragraf 244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Haftbeschwerde mit Alternativursache vorbereiten, Rohdaten Videoanlage sichern, Versicherungsunterlagen vollständig anfordern und Gutachterfragen zu Tor 3 formulieren.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Magdeburg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Magdeburg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Schwurgerichtskammer 1 | Staatsanwaltschaft Magdeburg, 1 Js 5582/26 · 1 Js 5582/26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