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4"/>
        </w:rPr>
        <w:t>Mandatsnotiz Erstgespräch</w:t>
      </w:r>
    </w:p>
    <w:p>
      <w:r>
        <w:rPr>
          <w:i/>
          <w:sz w:val="20"/>
        </w:rPr>
        <w:t>Landgericht Köln, große Strafkammer 19 | Staatsanwaltschaft Köln, 19 Js 774/26</w:t>
      </w:r>
    </w:p>
    <w:p>
      <w:pPr>
        <w:pStyle w:val="Heading2"/>
      </w:pPr>
      <w:r>
        <w:t>Mandatsziel</w:t>
      </w:r>
    </w:p>
    <w:p>
      <w:pPr>
        <w:spacing w:after="120" w:line="259" w:lineRule="auto"/>
      </w:pPr>
      <w:r>
        <w:t>Rafael Montes, 31 Jahre, Fahrer eines Mietwagens benötigt eine schnelle, aber belastbare Einordnung der Lage. Der erste Schritt ist kein Rundumschlag, sondern die Sicherung der fristkritischen Punkte, die Trennung der Rollen und die Entscheidung, ob geschwiegen, vorgetragen oder ein Antrag gestellt wird.</w:t>
      </w:r>
    </w:p>
    <w:p>
      <w:pPr>
        <w:pStyle w:val="Heading2"/>
      </w:pPr>
      <w:r>
        <w:t>Sofortfragen</w:t>
      </w:r>
    </w:p>
    <w:p>
      <w:pPr>
        <w:pStyle w:val="ListBullet"/>
      </w:pPr>
      <w:r>
        <w:t>Welche Frist läuft tatsächlich und wodurch wurde sie ausgelöst?</w:t>
      </w:r>
    </w:p>
    <w:p>
      <w:pPr>
        <w:pStyle w:val="ListBullet"/>
      </w:pPr>
      <w:r>
        <w:t>Welche Originaldaten fehlen noch und wer besitzt sie?</w:t>
      </w:r>
    </w:p>
    <w:p>
      <w:pPr>
        <w:pStyle w:val="ListBullet"/>
      </w:pPr>
      <w:r>
        <w:t>Welche Einlassung ist bereits aktenkundig oder faktisch erfolgt?</w:t>
      </w:r>
    </w:p>
    <w:p>
      <w:pPr>
        <w:pStyle w:val="ListBullet"/>
      </w:pPr>
      <w:r>
        <w:t>Welche Nebenfolge droht sofort praktisch zu wirken?</w:t>
      </w:r>
    </w:p>
    <w:p>
      <w:pPr>
        <w:spacing w:after="120" w:line="259" w:lineRule="auto"/>
      </w:pPr>
      <w:r>
        <w:t>Haftprüfung vorbereiten, Dolmetscher- und Belehrungsvermerk anfordern, Rohdaten der Handyforensik sichern und Zusatzfahrer über Vermieter identifizieren.</w:t>
      </w:r>
    </w:p>
    <w:p>
      <w:pPr>
        <w:pStyle w:val="Heading2"/>
      </w:pPr>
      <w:r>
        <w:t>Beteiligte</w:t>
      </w:r>
    </w:p>
    <w:tbl>
      <w:tblPr>
        <w:tblStyle w:val="TableGrid"/>
        <w:tblW w:type="auto" w:w="0"/>
        <w:jc w:val="center"/>
        <w:tblLook w:firstColumn="1" w:firstRow="1" w:lastColumn="0" w:lastRow="0" w:noHBand="0" w:noVBand="1" w:val="04A0"/>
      </w:tblPr>
      <w:tblGrid>
        <w:gridCol w:w="4986"/>
        <w:gridCol w:w="4986"/>
      </w:tblGrid>
      <w:tr>
        <w:tc>
          <w:tcPr>
            <w:tcW w:type="dxa" w:w="4986"/>
          </w:tcPr>
          <w:p>
            <w:r>
              <w:rPr>
                <w:b/>
              </w:rPr>
              <w:t>Punkt</w:t>
            </w:r>
          </w:p>
        </w:tc>
        <w:tc>
          <w:tcPr>
            <w:tcW w:type="dxa" w:w="4986"/>
          </w:tcPr>
          <w:p>
            <w:r>
              <w:rPr>
                <w:b/>
              </w:rPr>
              <w:t>Inhalt</w:t>
            </w:r>
          </w:p>
        </w:tc>
      </w:tr>
      <w:tr>
        <w:tc>
          <w:tcPr>
            <w:tcW w:type="dxa" w:w="4986"/>
            <w:vAlign w:val="top"/>
          </w:tcPr>
          <w:p>
            <w:r>
              <w:t>Beschuldigte oder betroffene Person</w:t>
            </w:r>
          </w:p>
        </w:tc>
        <w:tc>
          <w:tcPr>
            <w:tcW w:type="dxa" w:w="4986"/>
            <w:vAlign w:val="top"/>
          </w:tcPr>
          <w:p>
            <w:r>
              <w:t>Rafael Montes</w:t>
            </w:r>
          </w:p>
        </w:tc>
      </w:tr>
      <w:tr>
        <w:tc>
          <w:tcPr>
            <w:tcW w:type="dxa" w:w="4986"/>
            <w:vAlign w:val="top"/>
          </w:tcPr>
          <w:p>
            <w:r>
              <w:t>Mandatsbezug</w:t>
            </w:r>
          </w:p>
        </w:tc>
        <w:tc>
          <w:tcPr>
            <w:tcW w:type="dxa" w:w="4986"/>
            <w:vAlign w:val="top"/>
          </w:tcPr>
          <w:p>
            <w:r>
              <w:t>Rafael Montes, 31 Jahre, Fahrer eines Mietwagens</w:t>
            </w:r>
          </w:p>
        </w:tc>
      </w:tr>
      <w:tr>
        <w:tc>
          <w:tcPr>
            <w:tcW w:type="dxa" w:w="4986"/>
            <w:vAlign w:val="top"/>
          </w:tcPr>
          <w:p>
            <w:r>
              <w:t>Gericht</w:t>
            </w:r>
          </w:p>
        </w:tc>
        <w:tc>
          <w:tcPr>
            <w:tcW w:type="dxa" w:w="4986"/>
            <w:vAlign w:val="top"/>
          </w:tcPr>
          <w:p>
            <w:r>
              <w:t>Landgericht Köln, große Strafkammer 19</w:t>
            </w:r>
          </w:p>
        </w:tc>
      </w:tr>
      <w:tr>
        <w:tc>
          <w:tcPr>
            <w:tcW w:type="dxa" w:w="4986"/>
            <w:vAlign w:val="top"/>
          </w:tcPr>
          <w:p>
            <w:r>
              <w:t>Staatsanwaltschaft</w:t>
            </w:r>
          </w:p>
        </w:tc>
        <w:tc>
          <w:tcPr>
            <w:tcW w:type="dxa" w:w="4986"/>
            <w:vAlign w:val="top"/>
          </w:tcPr>
          <w:p>
            <w:r>
              <w:t>Staatsanwaltschaft Köln, 19 Js 774/26</w:t>
            </w:r>
          </w:p>
        </w:tc>
      </w:tr>
      <w:tr>
        <w:tc>
          <w:tcPr>
            <w:tcW w:type="dxa" w:w="4986"/>
            <w:vAlign w:val="top"/>
          </w:tcPr>
          <w:p>
            <w:r>
              <w:t>Verteidigung oder Vertretung</w:t>
            </w:r>
          </w:p>
        </w:tc>
        <w:tc>
          <w:tcPr>
            <w:tcW w:type="dxa" w:w="4986"/>
            <w:vAlign w:val="top"/>
          </w:tcPr>
          <w:p>
            <w:r>
              <w:t>RA Nils Petersen, Köln</w:t>
            </w:r>
          </w:p>
        </w:tc>
      </w:tr>
    </w:tbl>
    <w:p/>
    <w:sectPr w:rsidR="00FC693F" w:rsidRPr="0006063C" w:rsidSect="00034616">
      <w:headerReference w:type="default" r:id="rId9"/>
      <w:footerReference w:type="default" r:id="rId10"/>
      <w:pgSz w:w="12240" w:h="15840"/>
      <w:pgMar w:top="1020" w:right="1134" w:bottom="1020" w:left="1134"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Köln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Köln</w:t>
    </w:r>
  </w:p>
  <w:p>
    <w:pPr>
      <w:jc w:val="left"/>
      <w:pBdr>
        <w:bottom w:val="single" w:sz="6" w:space="2" w:color="3B3F45"/>
      </w:pBdr>
    </w:pPr>
    <w:r>
      <w:rPr>
        <w:rFonts w:ascii="Times New Roman" w:hAnsi="Times New Roman"/>
        <w:color w:val="6B6B66"/>
        <w:sz w:val="16"/>
      </w:rPr>
      <w:t>große Strafkammer 19 | Staatsanwaltschaft Köln, 19 Js 774/26 · 19 Js 774/26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