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w:t>
      </w:r>
    </w:p>
    <w:p>
      <w:pPr>
        <w:jc w:val="left"/>
      </w:pPr>
      <w:r>
        <w:rPr>
          <w:b/>
        </w:rPr>
        <w:t>Amtsgericht Bochum</w:t>
      </w:r>
      <w:r>
        <w:t xml:space="preserve"> — Ermittlungsrichter —</w:t>
      </w:r>
    </w:p>
    <w:p>
      <w:pPr>
        <w:jc w:val="left"/>
      </w:pPr>
      <w:r>
        <w:t>Josef-Neuberger-Straße 1 · 44787 Bochum</w:t>
      </w:r>
    </w:p>
    <w:p>
      <w:pPr>
        <w:jc w:val="left"/>
      </w:pPr>
      <w:r>
        <w:t>Geschäftsnummer: 64 Gs 1822/26</w:t>
      </w:r>
    </w:p>
    <w:p>
      <w:pPr>
        <w:jc w:val="left"/>
      </w:pPr>
      <w:r>
        <w:t>Bezug: Staatsanwaltschaft Bochum, 36 Js 1247/26</w:t>
      </w:r>
    </w:p>
    <w:p>
      <w:pPr>
        <w:jc w:val="left"/>
      </w:pPr>
      <w:r>
        <w:t>Bochum, den 21. Mai 2026</w:t>
      </w:r>
    </w:p>
    <w:p>
      <w:pPr>
        <w:jc w:val="left"/>
      </w:pPr>
      <w:r>
        <w:t>In dem Ermittlungsverfahren gegen</w:t>
      </w:r>
    </w:p>
    <w:p>
      <w:pPr>
        <w:jc w:val="left"/>
      </w:pPr>
      <w:r>
        <w:rPr>
          <w:b/>
        </w:rPr>
        <w:t>Dennis Kowalczik</w:t>
      </w:r>
      <w:r>
        <w:t>, geboren am 07.02.1994 in Bochum, derzeit Untersuchungshaft in dieser Sache (JVA Bochum),</w:t>
      </w:r>
    </w:p>
    <w:p>
      <w:pPr>
        <w:jc w:val="left"/>
      </w:pPr>
      <w:r>
        <w:t>wegen Verdachts des Handeltreibens mit Cannabis und Betäubungsmitteln in nicht geringer Menge u. a.</w:t>
      </w:r>
    </w:p>
    <w:p>
      <w:pPr>
        <w:jc w:val="left"/>
      </w:pPr>
      <w:r>
        <w:t>ergeht auf die Anträge der Staatsanwaltschaft Bochum vom 15.05.2026 folgende Entscheidung:</w:t>
      </w:r>
    </w:p>
    <w:p>
      <w:pPr>
        <w:jc w:val="left"/>
      </w:pPr>
      <w:r>
        <w:t>1 Tenor</w:t>
      </w:r>
    </w:p>
    <w:p>
      <w:pPr>
        <w:jc w:val="left"/>
      </w:pPr>
      <w:r>
        <w:t>1.1 Die Beschlagnahme der in der Asservatenliste vom 13.05.2026 aufgeführten Gegenstände A01 bis A17 wird richterlich bestätigt (§ 98 Abs. 2 Satz 1 StPO).</w:t>
      </w:r>
    </w:p>
    <w:p>
      <w:pPr>
        <w:jc w:val="left"/>
      </w:pPr>
      <w:r>
        <w:t xml:space="preserve">1.2 Der Antrag, die Durchsuchung vom 12.05.2026 nachträglich richterlich zu bestätigen, wird als unstatthaft </w:t>
      </w:r>
      <w:r>
        <w:rPr>
          <w:b/>
        </w:rPr>
        <w:t>zurückgewiesen</w:t>
      </w:r>
      <w:r>
        <w:t>.</w:t>
      </w:r>
    </w:p>
    <w:p>
      <w:pPr>
        <w:jc w:val="left"/>
      </w:pPr>
      <w:r>
        <w:t>2 Gründe</w:t>
      </w:r>
    </w:p>
    <w:p>
      <w:pPr>
        <w:jc w:val="left"/>
      </w:pPr>
      <w:r>
        <w:t>2.1 Die sichergestellten Gegenstände sind als Beweismittel für das Verfahren von Bedeutung beziehungsweise unterliegen der Einziehung; auf die zutreffende Begründung der Antragsschrift wird Bezug genommen. Die Bestätigung der Beschlagnahme setzt keine abschließende Entscheidung über die Rechtmäßigkeit der zugrunde liegenden Durchsuchung voraus; über ein etwaiges Verwertungsverbot entscheidet das erkennende Gericht.</w:t>
      </w:r>
    </w:p>
    <w:p>
      <w:pPr>
        <w:jc w:val="left"/>
      </w:pPr>
      <w:r>
        <w:t>2.2 Eine nachträgliche richterliche Bestätigung oder Genehmigung einer bereits vollzogenen und beendeten Durchsuchung sieht die Strafprozessordnung nicht vor. Der Richtervorbehalt des § 105 Abs. 1 StPO wirkt präventiv; eine nachträgliche Billigung könnte die unterbliebene vorherige richterliche Prüfung nicht ersetzen und liefe auf eine dem Gesetz fremde Heilung hinaus. Statthaft wäre auf Antrag des Betroffenen allein die Feststellung der Rechtswidrigkeit in entsprechender Anwendung des § 98 Abs. 2 Satz 2 StPO; einen solchen Antrag hat der Beschuldigte bislang nicht gestellt.</w:t>
      </w:r>
    </w:p>
    <w:p>
      <w:pPr>
        <w:jc w:val="left"/>
      </w:pPr>
      <w:r>
        <w:t>2.3 Lediglich ergänzend weist das Gericht auf Folgendes hin: Nach dem Durchsuchungsvermerk lagen zwischen der beobachteten Übergabe (14:20 Uhr) und dem Zugriff (17:05 Uhr) nahezu drei Stunden. In dieser Zeit will die Polizei einen einzigen erfolglosen Anrufversuch beim Bereitschaftsrichter „gegen 16:50 Uhr" unternommen haben, der in den vorgelegten Unterlagen nicht näher dokumentiert ist. Ob unter diesen Umständen Gefahr im Verzug im Sinne des § 105 Abs. 1 StPO tragfähig begründet war, wird gegebenenfalls das erkennende Gericht zu würdigen haben.</w:t>
      </w:r>
    </w:p>
    <w:p>
      <w:pPr>
        <w:jc w:val="left"/>
      </w:pPr>
      <w:r>
        <w:t>Dr. Weckmann</w:t>
      </w:r>
    </w:p>
    <w:p>
      <w:pPr>
        <w:jc w:val="left"/>
      </w:pPr>
      <w:r>
        <w:t>Richterin am Amtsgericht</w:t>
      </w:r>
    </w:p>
    <w:p>
      <w:pPr>
        <w:jc w:val="left"/>
      </w:pPr>
      <w:r>
        <w:rPr>
          <w:b/>
        </w:rPr>
        <w:t>Rechtsbehelfsbelehrung:</w:t>
      </w:r>
      <w:r>
        <w:t xml:space="preserve"> Gegen diesen Beschluss ist die Beschwerde nach § 304 StPO statthaft.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Bochum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Bochum</w:t>
    </w:r>
  </w:p>
  <w:p>
    <w:pPr>
      <w:jc w:val="left"/>
      <w:pBdr>
        <w:bottom w:val="single" w:sz="6" w:space="2" w:color="3B3F45"/>
      </w:pBdr>
    </w:pPr>
    <w:r>
      <w:rPr>
        <w:rFonts w:ascii="Times New Roman" w:hAnsi="Times New Roman"/>
        <w:color w:val="6B6B66"/>
        <w:sz w:val="16"/>
      </w:rPr>
      <w:t>Gericht · 64 Gs 1822/26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