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Protokoll der Zeugenvernehmung (dienstliche Vernehmung)</w:t>
      </w:r>
    </w:p>
    <w:p>
      <w:pPr>
        <w:jc w:val="left"/>
      </w:pPr>
      <w:r>
        <w:rPr>
          <w:b/>
        </w:rPr>
        <w:t>Staatsanwaltschaft Bochum</w:t>
      </w:r>
    </w:p>
    <w:p>
      <w:pPr>
        <w:jc w:val="left"/>
      </w:pPr>
      <w:r>
        <w:t>Westring 8 · 44787 Bochum · Telefon 0234 967-0</w:t>
      </w:r>
    </w:p>
    <w:p>
      <w:pPr>
        <w:jc w:val="left"/>
      </w:pPr>
      <w:r>
        <w:t>Aktenzeichen: 36 Js 1247/26 (Bl. 41–45 d. A.)</w:t>
      </w:r>
    </w:p>
    <w:p>
      <w:pPr>
        <w:jc w:val="left"/>
      </w:pPr>
      <w:r>
        <w:t>Bochum, den 10. Juni 2026</w:t>
      </w:r>
    </w:p>
    <w:p>
      <w:pPr>
        <w:jc w:val="left"/>
      </w:pPr>
      <w:r>
        <w:rPr>
          <w:b/>
        </w:rPr>
        <w:t>Vernehmung des Zeugen Polizeioberkommissar Timo Brechler zu den Umständen der Eilanordnung vom 12.05.2026</w:t>
      </w:r>
    </w:p>
    <w:p>
      <w:pPr>
        <w:jc w:val="left"/>
      </w:pPr>
      <w:r>
        <w:t>Beginn: 14:15 Uhr · Ende: 15:20 Uhr · keine Unterbrechung</w:t>
      </w:r>
    </w:p>
    <w:p>
      <w:pPr>
        <w:jc w:val="left"/>
      </w:pPr>
      <w:r>
        <w:t>Vernehmende: StAin Dr. Hillmann · Protokoll: JOSin Kerkhoff</w:t>
      </w:r>
    </w:p>
    <w:p>
      <w:pPr>
        <w:jc w:val="left"/>
      </w:pPr>
      <w:r>
        <w:rPr>
          <w:b/>
        </w:rPr>
        <w:t>Zur Person:</w:t>
      </w:r>
      <w:r>
        <w:t xml:space="preserve"> Timo Brechler, geboren am 21.03.1988, Polizeioberkommissar, Polizeipräsidium Bochum; Aussagegenehmigung des Dienstherrn vom 08.06.2026 liegt vor.</w:t>
      </w:r>
    </w:p>
    <w:p>
      <w:pPr>
        <w:jc w:val="left"/>
      </w:pPr>
      <w:r>
        <w:rPr>
          <w:b/>
        </w:rPr>
        <w:t>Belehrung:</w:t>
      </w:r>
      <w:r>
        <w:t xml:space="preserve"> Der Zeuge wurde über die Pflicht zur wahrheitsgemäßen Aussage und die Strafbarkeit falscher uneidlicher Aussage belehrt; auf § 55 StPO wurde ausdrücklich hingewiesen, da die Umstände der Eilanordnung Gegenstand der Vernehmung sind. Der Zeuge erklärte, die Belehrung verstanden zu haben und aussagen zu wollen.</w:t>
      </w:r>
    </w:p>
    <w:p>
      <w:pPr>
        <w:jc w:val="left"/>
      </w:pPr>
      <w:r>
        <w:rPr>
          <w:b/>
        </w:rPr>
        <w:t>Zur Sache:</w:t>
      </w:r>
    </w:p>
    <w:p>
      <w:pPr>
        <w:jc w:val="left"/>
      </w:pPr>
      <w:r>
        <w:t>„Ich habe am 12.05.2026 gegen 14:55 Uhr die Einsatzleitung übernommen. Die Lage war: beobachtete Übergabe, Käufer angehalten, Zielperson weiter in der Wohnung. Für mich war klar, dass wir zeitnah in die Wohnung müssen, bevor der Mann merkt, dass sein Kunde nicht wiederkommt oder nicht erreichbar ist.</w:t>
      </w:r>
    </w:p>
    <w:p>
      <w:pPr>
        <w:jc w:val="left"/>
      </w:pPr>
      <w:r>
        <w:t>Zur Frage des Richters: Ich habe gegen 16:45 oder 16:50 Uhr den Kollegen auf der Wache — wer genau am Apparat saß, weiß ich nicht mehr, es war hektisch — gebeten, den Bereitschaftsrichter anzurufen. Kurz danach kam die Rückmeldung, der Richter sei nicht erreichbar. Selbst gewählt habe ich nicht. Welche Nummer der Kollege benutzt hat, kann ich nicht sagen. Ich habe mich auf die Rückmeldung verlassen und das so an Frau Dr. Hillmann weitergegeben, die dann um 16:55 Uhr die Durchsuchung angeordnet hat.</w:t>
      </w:r>
    </w:p>
    <w:p>
      <w:pPr>
        <w:jc w:val="left"/>
      </w:pPr>
      <w:r>
        <w:t>Dass in der Telefonliste der Wache kein Anruf an die Richternummern auftaucht, kann ich mir nur so erklären, dass der Kollege vielleicht von einem Handy aus angerufen hat oder dass es beim Durchstellen ein Missverständnis gab. Ich habe den Versuch jedenfalls in Auftrag gegeben, davon gehe ich fest aus."</w:t>
      </w:r>
    </w:p>
    <w:p>
      <w:pPr>
        <w:jc w:val="left"/>
      </w:pPr>
      <w:r>
        <w:rPr>
          <w:b/>
        </w:rPr>
        <w:t>Frage:</w:t>
      </w:r>
      <w:r>
        <w:t xml:space="preserve"> Warum wurde der Bereitschaftsrichter nicht bereits zwischen 14:20 Uhr und 16:45 Uhr kontaktiert, obwohl die Verdachtslage seit der Übergabe unverändert war?</w:t>
      </w:r>
    </w:p>
    <w:p>
      <w:pPr>
        <w:jc w:val="left"/>
      </w:pPr>
      <w:r>
        <w:rPr>
          <w:b/>
        </w:rPr>
        <w:t>Antwort:</w:t>
      </w:r>
      <w:r>
        <w:t xml:space="preserve"> „Wir mussten erst die Käufervernehmung abwarten, um zu wissen, ob die Wohnung wirklich die Quelle ist. Die war um 16:05 Uhr fertig. Danach kam die Lagebesprechung, die Anforderung der Unterstützung, die Anfahrt. Es war nicht so, dass wir den Richter bewusst umgangen hätten; es hat sich so ergeben. Im Rückblick hätte man früher anrufen können, das räume ich ein."</w:t>
      </w:r>
    </w:p>
    <w:p>
      <w:pPr>
        <w:jc w:val="left"/>
      </w:pPr>
      <w:r>
        <w:rPr>
          <w:b/>
        </w:rPr>
        <w:t>Frage:</w:t>
      </w:r>
      <w:r>
        <w:t xml:space="preserve"> Ist der Anrufversuch irgendwo dokumentiert — Einsatzprotokoll, Notizzettel, persönliches Handy?</w:t>
      </w:r>
    </w:p>
    <w:p>
      <w:pPr>
        <w:jc w:val="left"/>
      </w:pPr>
      <w:r>
        <w:rPr>
          <w:b/>
        </w:rPr>
        <w:t>Antwort:</w:t>
      </w:r>
      <w:r>
        <w:t xml:space="preserve"> „Im Funkprotokoll steht er nicht, das lief ja über Telefon. Einen eigenen Vermerk dazu habe ich nicht gefertigt; die Formulierung im Durchsuchungsvermerk stammt von mir aus der Erinnerung am selben Abend. Auf meinem Diensthandy ist kein Anruf an die Richternummer, das habe ich selbst nachgesehen."</w:t>
      </w:r>
    </w:p>
    <w:p>
      <w:pPr>
        <w:jc w:val="left"/>
      </w:pPr>
      <w:r>
        <w:rPr>
          <w:b/>
        </w:rPr>
        <w:t>Abschluss:</w:t>
      </w:r>
      <w:r>
        <w:t xml:space="preserve"> Das Protokoll wurde dem Zeugen vorgelesen, von ihm genehmigt und unterschrieben.</w:t>
      </w:r>
    </w:p>
    <w:p>
      <w:pPr>
        <w:jc w:val="left"/>
      </w:pPr>
      <w:r>
        <w:t>gez. Brechler, POK (Zeuge)</w:t>
      </w:r>
    </w:p>
    <w:p>
      <w:pPr>
        <w:jc w:val="left"/>
      </w:pPr>
      <w:r>
        <w:t>gez. Dr. Hillmann, StAin (Vernehmende)</w:t>
      </w:r>
    </w:p>
    <w:p>
      <w:pPr>
        <w:jc w:val="left"/>
      </w:pPr>
      <w:r>
        <w:t>gez. Kerkhoff, JOSin (Protokoll)</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Bochum</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Bochum</w:t>
    </w:r>
  </w:p>
  <w:p>
    <w:pPr>
      <w:jc w:val="left"/>
      <w:pBdr>
        <w:bottom w:val="single" w:sz="6" w:space="2" w:color="3B3F45"/>
      </w:pBdr>
    </w:pPr>
    <w:r>
      <w:rPr>
        <w:rFonts w:ascii="Times New Roman" w:hAnsi="Times New Roman"/>
        <w:color w:val="6B6B66"/>
        <w:sz w:val="16"/>
      </w:rPr>
      <w:t>Gericht · Aktenzeichen: 36 Js 1247/26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