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Stellungnahme der Staatsanwaltschaft im Zwischenverfahren</w:t>
      </w:r>
    </w:p>
    <w:p>
      <w:pPr>
        <w:jc w:val="left"/>
      </w:pPr>
      <w:r>
        <w:rPr>
          <w:b/>
        </w:rPr>
        <w:t>Staatsanwaltschaft Bochum</w:t>
      </w:r>
    </w:p>
    <w:p>
      <w:pPr>
        <w:jc w:val="left"/>
      </w:pPr>
      <w:r>
        <w:t>Westring 8 · 44787 Bochum · Telefon 0234 967-0</w:t>
      </w:r>
    </w:p>
    <w:p>
      <w:pPr>
        <w:jc w:val="left"/>
      </w:pPr>
      <w:r>
        <w:t>Aktenzeichen: 36 Js 1247/26 · LG Bochum, 2 KLs 36 Js 1247/26</w:t>
      </w:r>
    </w:p>
    <w:p>
      <w:pPr>
        <w:jc w:val="left"/>
      </w:pPr>
      <w:r>
        <w:t>Bochum, den 30. Juni 2026</w:t>
      </w:r>
    </w:p>
    <w:p>
      <w:pPr>
        <w:jc w:val="left"/>
      </w:pPr>
      <w:r>
        <w:t>An das</w:t>
      </w:r>
    </w:p>
    <w:p>
      <w:pPr>
        <w:jc w:val="left"/>
      </w:pPr>
      <w:r>
        <w:t>Landgericht Bochum</w:t>
      </w:r>
    </w:p>
    <w:p>
      <w:pPr>
        <w:jc w:val="left"/>
      </w:pPr>
      <w:r>
        <w:t>— 2. große Strafkammer —</w:t>
      </w:r>
    </w:p>
    <w:p>
      <w:pPr>
        <w:jc w:val="left"/>
      </w:pPr>
      <w:r>
        <w:t>Josef-Neuberger-Straße 1</w:t>
      </w:r>
    </w:p>
    <w:p>
      <w:pPr>
        <w:jc w:val="left"/>
      </w:pPr>
      <w:r>
        <w:t>44787 Bochum</w:t>
      </w:r>
    </w:p>
    <w:p>
      <w:pPr>
        <w:jc w:val="left"/>
      </w:pPr>
      <w:r>
        <w:rPr>
          <w:b/>
        </w:rPr>
        <w:t>Betreff: Strafsache gegen Dennis Kowalczik — Stellungnahme zu den Einwendungen der Verteidigung vom 24.06.2026</w:t>
      </w:r>
    </w:p>
    <w:p>
      <w:pPr>
        <w:jc w:val="left"/>
      </w:pPr>
      <w:r>
        <w:t>1 Zur behaupteten Rechtswidrigkeit der Durchsuchung</w:t>
      </w:r>
    </w:p>
    <w:p>
      <w:pPr>
        <w:jc w:val="left"/>
      </w:pPr>
      <w:r>
        <w:t>1.1 Die Staatsanwaltschaft verkennt nicht, dass die Dokumentationslage zum Anrufversuch beim Bereitschaftsrichter unbefriedigend ist. Der Einsatzleiter hat den Versuch nach seiner dienstlichen Aussage in Auftrag gegeben und sich auf die Rückmeldung der Wache verlassen (Bl. 41–45 d. A.); dass die Telefonliste der Wache und das Verbindungsprotokoll des Diensthandys keinen Anruf ausweisen, spricht dafür, dass der Auftrag im Einsatzgeschehen nicht oder fehlerhaft ausgeführt wurde. Ein bewusstes Vortäuschen der Unerreichbarkeit ergibt sich daraus nicht; nahe liegt ein Kommunikations- und Organisationsversagen.</w:t>
      </w:r>
    </w:p>
    <w:p>
      <w:pPr>
        <w:jc w:val="left"/>
      </w:pPr>
      <w:r>
        <w:t>1.2 Unabhängig davon war die Annahme von Gefahr im Verzug in der konkreten Zugriffssituation vertretbar: Mit fortschreitender Zeit nach der Anhaltung des Käufers um 14:26 Uhr wuchs die Gefahr, dass der Angeschuldigte durch dessen Ausbleiben oder durch Beobachtungen im Umfeld gewarnt würde. Die Zwischenzeit wurde nicht untätig verbracht, sondern für die Verifizierung der Bezugsquelle (Käufervernehmung bis 16:05 Uhr) und die Herstellung der Zugriffsfähigkeit genutzt. Die anordnende Staatsanwältin durfte auf die ihr fernmündlich mitgeteilte Unerreichbarkeit des Richters vertrauen; ihre Anordnung war aus der maßgeblichen Sicht zum Anordnungszeitpunkt nicht willkürlich.</w:t>
      </w:r>
    </w:p>
    <w:p>
      <w:pPr>
        <w:jc w:val="left"/>
      </w:pPr>
      <w:r>
        <w:t>1.3 Selbst wenn die Kammer einen Verstoß gegen § 105 Abs. 1 StPO annimmt, führt die gebotene Abwägung nicht zwingend zu einem Verwertungsverbot: Der Verstoß beruhte nicht auf einer zielgerichteten Umgehung des Richtervorbehalts, ein hypothetisch rechtmäßiger Ermittlungsverlauf hätte mit an Sicherheit grenzender Wahrscheinlichkeit zum selben Ergebnis geführt — der zuständige Bereitschaftsrichter hätte die Durchsuchung auf die dokumentierte Verdachtslage (beobachtete Übergabe, Käuferangaben, Anwohnerhinweise) ohne Weiteres angeordnet —, und die aufzuklärenden Taten (bewaffnetes Handeltreiben) wiegen schwer.</w:t>
      </w:r>
    </w:p>
    <w:p>
      <w:pPr>
        <w:jc w:val="left"/>
      </w:pPr>
      <w:r>
        <w:t>2 Hilfserwägungen: unabhängig erlangte Beweismittel</w:t>
      </w:r>
    </w:p>
    <w:p>
      <w:pPr>
        <w:jc w:val="left"/>
      </w:pPr>
      <w:r>
        <w:t xml:space="preserve">2.1 Jedenfalls bleiben die </w:t>
      </w:r>
      <w:r>
        <w:rPr>
          <w:b/>
        </w:rPr>
        <w:t>vor</w:t>
      </w:r>
      <w:r>
        <w:t xml:space="preserve"> der Durchsuchung und unabhängig von ihr gewonnenen Beweismittel verwertbar: die Observation der Übergabe vom 12.05.2026, 14:20 Uhr, die Sicherstellung der 4,8 g Marihuana beim Käufer, dessen Angaben zur Bezugsquelle sowie die Wahrnehmungen des Zeugen Sanftleben (Besucherverkehr seit März 2026, Geruch, Balkonbeobachtung einer Pistole Ende April), die auf dessen eigener Anzeige vom 05.05.2026 beruhen. Diese Beweismittel sind keine Früchte der Durchsuchung; ein wie auch immer geartetes Verwertungsverbot erfasst sie nicht.</w:t>
      </w:r>
    </w:p>
    <w:p>
      <w:pPr>
        <w:jc w:val="left"/>
      </w:pPr>
      <w:r>
        <w:t>2.2 Auf dieser Grundlage besteht auch bei Hinwegdenken der Durchsuchungsfunde jedenfalls hinreichender Tatverdacht des unerlaubten Handeltreibens mit Cannabis (§ 34 Abs. 1 Nr. 4 KCanG); über die Frage, ob insoweit die Zuständigkeit der großen Strafkammer bestehen bliebe, wäre gegebenenfalls nach § 209 StPO zu entscheiden. Die Staatsanwaltschaft hält indes an ihrer Auffassung fest, dass die Durchsuchungsfunde verwertbar sind und das Hauptverfahren im angeklagten Umfang zu eröffnen ist.</w:t>
      </w:r>
    </w:p>
    <w:p>
      <w:pPr>
        <w:jc w:val="left"/>
      </w:pPr>
      <w:r>
        <w:t>3 Zur Haftfrage</w:t>
      </w:r>
    </w:p>
    <w:p>
      <w:pPr>
        <w:jc w:val="left"/>
      </w:pPr>
      <w:r>
        <w:t>3.1 Der Haftbefehl ist aufrechtzuerhalten. Der dringende Tatverdacht folgt aus der Gesamtheit der Beweismittel; Flucht- und Verdunkelungsgefahr bestehen fort. Über den Einwand der Verteidigung wird im Rahmen der Haftprüfung nach § 207 Abs. 4 StPO zu befinden sein.</w:t>
      </w:r>
    </w:p>
    <w:p>
      <w:pPr>
        <w:jc w:val="left"/>
      </w:pPr>
      <w:r>
        <w:t>Dr. Hillmann</w:t>
      </w:r>
    </w:p>
    <w:p>
      <w:pPr>
        <w:jc w:val="left"/>
      </w:pPr>
      <w:r>
        <w:t>Staatsanwältin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Stellungnahme der Staatsanwaltschaft im Zwischenverfahren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Stellungnahme der Staatsanwaltschaft im Zwischenverfahren</w:t>
    </w:r>
  </w:p>
  <w:p>
    <w:pPr>
      <w:jc w:val="left"/>
      <w:pBdr>
        <w:bottom w:val="single" w:sz="6" w:space="2" w:color="3B3F45"/>
      </w:pBdr>
    </w:pPr>
    <w:r>
      <w:rPr>
        <w:rFonts w:ascii="Times New Roman" w:hAnsi="Times New Roman"/>
        <w:color w:val="6B6B66"/>
        <w:sz w:val="16"/>
      </w:rPr>
      <w:t>Gericht · Aktenzeichen: 36 Js 1247/26 · LG Bochum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