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auf Haftprüfung</w:t>
      </w:r>
    </w:p>
    <w:p>
      <w:pPr>
        <w:jc w:val="left"/>
      </w:pPr>
      <w:r>
        <w:rPr>
          <w:b/>
        </w:rPr>
        <w:t>Rechtsanwältin Nadja Simonis</w:t>
      </w:r>
      <w:r>
        <w:t xml:space="preserve"> · Fachanwältin für Strafrecht</w:t>
      </w:r>
    </w:p>
    <w:p>
      <w:pPr>
        <w:jc w:val="left"/>
      </w:pPr>
      <w:r>
        <w:t>III. Hagen 26 · 45127 Essen · Telefon 0201 74 92 33-0 · Telefax 0201 74 92 33-9 · kanzlei@simonis-strafverteidigung.de</w:t>
      </w:r>
    </w:p>
    <w:p>
      <w:pPr>
        <w:jc w:val="left"/>
      </w:pPr>
      <w:r>
        <w:t>Unser Zeichen: 208/26 SI · Essen, den 18. Juni 2026</w:t>
      </w:r>
    </w:p>
    <w:p>
      <w:pPr>
        <w:jc w:val="left"/>
      </w:pPr>
      <w:r>
        <w:rPr>
          <w:b/>
        </w:rPr>
        <w:t>Per beA</w:t>
      </w:r>
    </w:p>
    <w:p>
      <w:pPr>
        <w:jc w:val="left"/>
      </w:pPr>
      <w:r>
        <w:t>An das</w:t>
      </w:r>
    </w:p>
    <w:p>
      <w:pPr>
        <w:jc w:val="left"/>
      </w:pPr>
      <w:r>
        <w:t>Amtsgericht Essen</w:t>
      </w:r>
    </w:p>
    <w:p>
      <w:pPr>
        <w:jc w:val="left"/>
      </w:pPr>
      <w:r>
        <w:t>— Ermittlungsrichter —</w:t>
      </w:r>
    </w:p>
    <w:p>
      <w:pPr>
        <w:jc w:val="left"/>
      </w:pPr>
      <w:r>
        <w:t>Zweigertstraße 52</w:t>
      </w:r>
    </w:p>
    <w:p>
      <w:pPr>
        <w:jc w:val="left"/>
      </w:pPr>
      <w:r>
        <w:t>45130 Essen</w:t>
      </w:r>
    </w:p>
    <w:p>
      <w:pPr>
        <w:jc w:val="left"/>
      </w:pPr>
      <w:r>
        <w:rPr>
          <w:b/>
        </w:rPr>
        <w:t>Betreff: Ermittlungsverfahren gegen Kevin Rautenberg, StA Essen 70 Js 883/26, AG Essen 44 Gs 2312/26 — Antrag auf Haftprüfung (§ 117 Abs. 1 StPO)</w:t>
      </w:r>
    </w:p>
    <w:p>
      <w:pPr>
        <w:jc w:val="left"/>
      </w:pPr>
      <w:r>
        <w:t>Namens des Beschuldigten, dessen Verteidigung ich unter Vollmachtsvorlage anzeige, beantrage ich</w:t>
      </w:r>
    </w:p>
    <w:p>
      <w:pPr>
        <w:jc w:val="left"/>
      </w:pPr>
      <w:r>
        <w:rPr>
          <w:b/>
        </w:rPr>
        <w:t>die Aufhebung des Haftbefehls vom 04.06.2026, hilfsweise dessen Außervollzugsetzung (§ 116 StPO), und die Durchführung der mündlichen Haftprüfung.</w:t>
      </w:r>
    </w:p>
    <w:p>
      <w:pPr>
        <w:jc w:val="left"/>
      </w:pPr>
      <w:r>
        <w:t>Zur Begründung führe ich aus:</w:t>
      </w:r>
    </w:p>
    <w:p>
      <w:pPr>
        <w:jc w:val="left"/>
      </w:pPr>
      <w:r>
        <w:t>1 Kein dringender Tatverdacht für die Taten 1 und 3</w:t>
      </w:r>
    </w:p>
    <w:p>
      <w:pPr>
        <w:jc w:val="left"/>
      </w:pPr>
      <w:r>
        <w:t>1.1 Der Haftbefehl stützt den dringenden Tatverdacht für die Taten vom 17.04.2026 und 15.05.2026 allein auf das „übereinstimmende Tatbild" und ein Schuhprofil einer verbreiteten Größe. Die von der Staatsanwaltschaft selbst erhobenen Verkehrsdaten ergeben demgegenüber, dass das Mobiltelefon des Beschuldigten an beiden Abenden durchgehend in Duisburg-Hochfeld eingebucht war — am 15.05.2026 noch um 22:04 Uhr, eine Minute vor Tatbeginn in Essen-Holsterhausen (Bl. 51–56 d. A.). Nach dem eigenen Fahrzeiten-Vermerk der Polizei (Bl. 79–81 d. A.) schließt dies die Anwesenheit des Geräts am Tatort aus. Die Beweislage, die die Ermittlungsbehörden für Tat 2 für tragfähig halten (Gerät in Tatortnähe = Täterschaft), müsste bei gleicher Logik für Tat 3 zur Entlastung führen. Sie kann nicht je nach gewünschtem Ergebnis einmal personengebunden und einmal personenungebunden gedeutet werden.</w:t>
      </w:r>
    </w:p>
    <w:p>
      <w:pPr>
        <w:jc w:val="left"/>
      </w:pPr>
      <w:r>
        <w:t>1.2 Für Tat 1 existiert keinerlei Individualbeweis: keine Wiedererkennung, keine Spur, keine Standortdaten am Tatort.</w:t>
      </w:r>
    </w:p>
    <w:p>
      <w:pPr>
        <w:jc w:val="left"/>
      </w:pPr>
      <w:r>
        <w:t>2 Durchgreifende Mängel der Wiedererkennung (Tat 2)</w:t>
      </w:r>
    </w:p>
    <w:p>
      <w:pPr>
        <w:jc w:val="left"/>
      </w:pPr>
      <w:r>
        <w:t xml:space="preserve">2.1 Die Wahllichtbildvorlage vom 27.05.2026 (Bl. 41–46 d. A.) ist in ihrem Beweiswert erheblich gemindert. Dem Zeugen Bulut war eine Woche zuvor durch einen Polizeibeamten ein </w:t>
      </w:r>
      <w:r>
        <w:rPr>
          <w:b/>
        </w:rPr>
        <w:t>einzelnes</w:t>
      </w:r>
      <w:r>
        <w:t xml:space="preserve"> Lichtbild des Beschuldigten mit der Frage vorgezeigt worden, ob „er das sein könnte". Eine solche Einzelbildvorzeigung präjudiziert die spätere Auswahl; der Zeuge hat selbst bekundet, es sei „dasselbe Foto oder ein ähnliches" gewesen. Hinzu kommt die suggestive Zusammensetzung der Vorlage: Nur das Bild des Beschuldigten zeigt eine Halstätowierung — genau das Merkmal, an dem der Zeuge den Täter festmachen wollte. Die Vorlage war damit auf den Beschuldigten hin konstruiert; ihr verbleibender Beweiswert ist gering.</w:t>
      </w:r>
    </w:p>
    <w:p>
      <w:pPr>
        <w:jc w:val="left"/>
      </w:pPr>
      <w:r>
        <w:t>3 Zum Alibi</w:t>
      </w:r>
    </w:p>
    <w:p>
      <w:pPr>
        <w:jc w:val="left"/>
      </w:pPr>
      <w:r>
        <w:t>3.1 Die Zeugin Jasmin Rautenberg hat bekundet, der Beschuldigte sei an allen drei Abenden durchgehend in ihrer Wohnung in Duisburg gewesen. Jedenfalls für die Abende des 17.04.2026 und des 15.05.2026 wird diese Angabe durch die Standortdaten gestützt, die die Staatsanwaltschaft selbst erhoben hat.</w:t>
      </w:r>
    </w:p>
    <w:p>
      <w:pPr>
        <w:jc w:val="left"/>
      </w:pPr>
      <w:r>
        <w:t>4 Kein Haftgrund, jedenfalls Unverhältnismäßigkeit</w:t>
      </w:r>
    </w:p>
    <w:p>
      <w:pPr>
        <w:jc w:val="left"/>
      </w:pPr>
      <w:r>
        <w:t>4.1 Der Beschuldigte lebt seit Jahren in Essen, verfügt über eine feste Wohnung und enge familiäre Bindung zu seiner Schwester. Ein Fluchtanreiz aus der Straferwartung lässt sich nur begründen, wenn man den dringenden Tatverdacht für alle drei Taten bejaht; nach dem Vorstehenden trägt er allenfalls für eine Tat, deren Beweisfundament (Wiedererkennung) zudem beschädigt ist. Hilfsweise werden Meldeauflagen und die Abgabe der Ausweisdokumente angeboten (§ 116 Abs. 1 StPO).</w:t>
      </w:r>
    </w:p>
    <w:p>
      <w:pPr>
        <w:jc w:val="left"/>
      </w:pPr>
      <w:r>
        <w:t>Es wird um zeitnahe Terminierung der mündlichen Haftprüfung gebeten.</w:t>
      </w:r>
    </w:p>
    <w:p>
      <w:pPr>
        <w:jc w:val="left"/>
      </w:pPr>
      <w:r>
        <w:t>Nadja Simonis</w:t>
      </w:r>
    </w:p>
    <w:p>
      <w:pPr>
        <w:jc w:val="left"/>
      </w:pPr>
      <w:r>
        <w:t>Rechtsanwältin, Fachanwältin für Strafrecht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Nadja Simonis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RECHTSANWÄLTIN NADJA SIMONIS</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