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Verteidigerschriftsatz — Teilentlastung aus den Ermittlungsdaten der Staatsanwaltschaft</w:t>
      </w:r>
    </w:p>
    <w:p>
      <w:pPr>
        <w:jc w:val="left"/>
      </w:pPr>
      <w:r>
        <w:rPr>
          <w:b/>
        </w:rPr>
        <w:t>Rechtsanwältin Nadja Simonis</w:t>
      </w:r>
      <w:r>
        <w:t xml:space="preserve"> · Fachanwältin für Strafrecht</w:t>
      </w:r>
    </w:p>
    <w:p>
      <w:pPr>
        <w:jc w:val="left"/>
      </w:pPr>
      <w:r>
        <w:t>III. Hagen 26 · 45127 Essen · Telefon 0201 74 92 33-0 · Telefax 0201 74 92 33-9 · kanzlei@simonis-strafverteidigung.de</w:t>
      </w:r>
    </w:p>
    <w:p>
      <w:pPr>
        <w:jc w:val="left"/>
      </w:pPr>
      <w:r>
        <w:t>Unser Zeichen: 208/26 SI · Essen, den 26. Juni 2026</w:t>
      </w:r>
    </w:p>
    <w:p>
      <w:pPr>
        <w:jc w:val="left"/>
      </w:pPr>
      <w:r>
        <w:rPr>
          <w:b/>
        </w:rPr>
        <w:t>Per beA</w:t>
      </w:r>
    </w:p>
    <w:p>
      <w:pPr>
        <w:jc w:val="left"/>
      </w:pPr>
      <w:r>
        <w:t>An die</w:t>
      </w:r>
    </w:p>
    <w:p>
      <w:pPr>
        <w:jc w:val="left"/>
      </w:pPr>
      <w:r>
        <w:t>Staatsanwaltschaft Essen</w:t>
      </w:r>
    </w:p>
    <w:p>
      <w:pPr>
        <w:jc w:val="left"/>
      </w:pPr>
      <w:r>
        <w:t>— Herrn Staatsanwalt Dr. Kalthoff —</w:t>
      </w:r>
    </w:p>
    <w:p>
      <w:pPr>
        <w:jc w:val="left"/>
      </w:pPr>
      <w:r>
        <w:t>Zweigertstraße 52</w:t>
      </w:r>
    </w:p>
    <w:p>
      <w:pPr>
        <w:jc w:val="left"/>
      </w:pPr>
      <w:r>
        <w:t>45130 Essen</w:t>
      </w:r>
    </w:p>
    <w:p>
      <w:pPr>
        <w:jc w:val="left"/>
      </w:pPr>
      <w:r>
        <w:rPr>
          <w:b/>
        </w:rPr>
        <w:t>Betreff: Ermittlungsverfahren gegen Kevin Rautenberg, 70 Js 883/26 — Stellungnahme nach vollständiger Akteneinsicht; Anträge auf Teileinstellung und ergänzende Beweiserhebung</w:t>
      </w:r>
    </w:p>
    <w:p>
      <w:pPr>
        <w:jc w:val="left"/>
      </w:pPr>
      <w:r>
        <w:t>Sehr geehrter Herr Staatsanwalt,</w:t>
      </w:r>
    </w:p>
    <w:p>
      <w:pPr>
        <w:jc w:val="left"/>
      </w:pPr>
      <w:r>
        <w:t>nach vollständiger Akteneinsicht einschließlich der Rohdaten der TeleNord Mobilfunk GmbH nehme ich wie folgt Stellung:</w:t>
      </w:r>
    </w:p>
    <w:p>
      <w:pPr>
        <w:jc w:val="left"/>
      </w:pPr>
      <w:r>
        <w:t>1 Die eigenen Daten der Ermittlungsbehörden entlasten für zwei von drei Taten</w:t>
      </w:r>
    </w:p>
    <w:p>
      <w:pPr>
        <w:jc w:val="left"/>
      </w:pPr>
      <w:r>
        <w:t>1.1 Die Verkehrsdatenauswertung (Bl. 51–56 d. A.) und der Fahrzeiten-Vermerk (Bl. 79–81 d. A.) ergeben: Am 17.04.2026 und am 15.05.2026 war das Mobiltelefon des Beschuldigten während der gesamten Tatabende ausschließlich in Duisburg-Hochfeld eingebucht, am 15.05.2026 um 21:58 Uhr, 22:04 Uhr und 22:31 Uhr — die Tat in Essen-Holsterhausen wurde zwischen 22:05 und 22:09 Uhr begangen. Nach den polizeilich ermittelten Mindestfahrzeiten ist es ausgeschlossen, dass der Träger dieses Geräts die Tat 3 begangen hat. Beweismittel und Beweiswürdigungsmaßstab stammen von den Ermittlungsbehörden selbst.</w:t>
      </w:r>
    </w:p>
    <w:p>
      <w:pPr>
        <w:jc w:val="left"/>
      </w:pPr>
      <w:r>
        <w:t xml:space="preserve">1.2 Hieraus folgt zwingend eine Alternativenbetrachtung: Entweder ist der Beschuldigte für die Taten 1 und 3 als Täter ausgeschlossen — dann bricht die Serienthese zusammen, auf der der Haftbefehl für alle drei Taten aufbaut —, oder das Gerät belegt Aufenthaltsorte nicht personengebunden — dann verliert es auch für Tat 2 seinen Belastungswert. Ein Drittes gibt es nicht. Es wird beantragt, </w:t>
      </w:r>
      <w:r>
        <w:rPr>
          <w:b/>
        </w:rPr>
        <w:t>das Verfahren hinsichtlich der Taten vom 17.04.2026 und 15.05.2026 nach § 170 Abs. 2 StPO einzustellen.</w:t>
      </w:r>
    </w:p>
    <w:p>
      <w:pPr>
        <w:jc w:val="left"/>
      </w:pPr>
      <w:r>
        <w:t>2 Zur Tat vom 02.05.2026</w:t>
      </w:r>
    </w:p>
    <w:p>
      <w:pPr>
        <w:jc w:val="left"/>
      </w:pPr>
      <w:r>
        <w:t>2.1 Hinsichtlich der Tat 2 wird auf die Ausführungen im Haftprüfungsantrag vom 18.06.2026 zur Einzelbildvorzeigung und zur suggestiven Zusammensetzung der Wahllichtbildvorlage Bezug genommen. Ergänzend: Die Einbuchung in der Zelle 31544-E7 belegt einen Aufenthalt des Geräts in einem Versorgungsbereich, in dem neben dem Tatort mehrere tausend Menschen wohnen, Gaststätten und ein Kino liegen. Standortdaten einer einzelnen Zelle sind ein Indiz für einen Aufenthaltsraum, kein Nachweis der Anwesenheit an einer bestimmten Adresse.</w:t>
      </w:r>
    </w:p>
    <w:p>
      <w:pPr>
        <w:jc w:val="left"/>
      </w:pPr>
      <w:r>
        <w:t>2.2 Der Beschuldigte bleibt bei seiner Einlassung, den Abend bei seiner Schwester verbracht zu haben. Rein vorsorglich wird darauf hingewiesen, dass selbst dann, wenn das Gericht von einer zeitweiligen Abwesenheit ausgehen sollte, hieraus kein Nachweis einer Raubtat folgt; ein Aufenthalt in Frohnhausen ist kein Tatnachweis.</w:t>
      </w:r>
    </w:p>
    <w:p>
      <w:pPr>
        <w:jc w:val="left"/>
      </w:pPr>
      <w:r>
        <w:t>3 Beweisanregungen</w:t>
      </w:r>
    </w:p>
    <w:p>
      <w:pPr>
        <w:jc w:val="left"/>
      </w:pPr>
      <w:r>
        <w:t>3.1 Vernehmung des PK Hemmers zu Anlass, Umständen und Bildauswahl der Einzelbildvorzeigung vom 20.05.2026.</w:t>
      </w:r>
    </w:p>
    <w:p>
      <w:pPr>
        <w:jc w:val="left"/>
      </w:pPr>
      <w:r>
        <w:t>3.2 Einholung einer technischen Auskunft der Netzbetreiberin zum tatsächlichen Versorgungsbereich der Zelle 31544-E7 am 02.05.2026 (Hauptstrahlrichtung, Reichweite, Nachbarzellenüberlappung).</w:t>
      </w:r>
    </w:p>
    <w:p>
      <w:pPr>
        <w:jc w:val="left"/>
      </w:pPr>
      <w:r>
        <w:t xml:space="preserve">3.3 Wiederholung der Wiedererkennung als </w:t>
      </w:r>
      <w:r>
        <w:rPr>
          <w:b/>
        </w:rPr>
        <w:t>sequenzielle</w:t>
      </w:r>
      <w:r>
        <w:t xml:space="preserve"> Video-Gegenüberstellung mit tätowierten Vergleichspersonen, sofern die Staatsanwaltschaft der Wiedererkennung weiterhin Beweiswert beimisst.</w:t>
      </w:r>
    </w:p>
    <w:p>
      <w:pPr>
        <w:jc w:val="left"/>
      </w:pPr>
      <w:r>
        <w:t>4 Verwertungsfrage</w:t>
      </w:r>
    </w:p>
    <w:p>
      <w:pPr>
        <w:jc w:val="left"/>
      </w:pPr>
      <w:r>
        <w:t>4.1 Für den Fall der Anklageerhebung wird bereits jetzt angekündigt, der Verwertung der Wahllichtbildvorlage vom 27.05.2026 in einer Hauptverhandlung zu widersprechen, soweit sie auf der Einzelbildvorzeigung aufbaut. Unabhängig davon wird die Verteidigung die Verwertbarkeit der Verkehrsdaten nicht angreifen: Sie sind nach § 100g Abs. 1 und 2, § 101a StPO richterlich angeordnet worden und entlasten den Beschuldigten in zwei von drei Fällen.</w:t>
      </w:r>
    </w:p>
    <w:p>
      <w:pPr>
        <w:jc w:val="left"/>
      </w:pPr>
      <w:r>
        <w:t>Mit freundlichen kollegialen Grüßen</w:t>
      </w:r>
    </w:p>
    <w:p>
      <w:pPr>
        <w:jc w:val="left"/>
      </w:pPr>
      <w:r>
        <w:t>Nadja Simonis</w:t>
      </w:r>
    </w:p>
    <w:p>
      <w:pPr>
        <w:jc w:val="left"/>
      </w:pPr>
      <w:r>
        <w:t>Rechtsanwältin, Fachanwältin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Verteidigerschriftsatz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Verteidigerschriftsatz</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