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Dresden, Strafrichter Abteilung 238 | Staatsanwaltschaft Dresden, 238 Js 9064/26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Dresden, 238 Js 9064/26 führt die Sache derzeit mit Schwerpunkt auf: Körperverletzung nach Paragraf 223 StGB; gefährliche Körperverletzung nach Paragraf 224 StGB wegen Glasflasche als Tatmittel; Bedrohung und Nachstellung als Begleitprüfung.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Ärztlicher Befund</w:t>
            </w:r>
          </w:p>
        </w:tc>
        <w:tc>
          <w:tcPr>
            <w:tcW w:type="dxa" w:w="2493"/>
            <w:vAlign w:val="top"/>
          </w:tcPr>
          <w:p>
            <w:r>
              <w:t>Notaufnahme Friedrichstadt</w:t>
            </w:r>
          </w:p>
        </w:tc>
        <w:tc>
          <w:tcPr>
            <w:tcW w:type="dxa" w:w="2493"/>
            <w:vAlign w:val="top"/>
          </w:tcPr>
          <w:p>
            <w:r>
              <w:t>Hämatome und Schnittverletzung</w:t>
            </w:r>
          </w:p>
        </w:tc>
        <w:tc>
          <w:tcPr>
            <w:tcW w:type="dxa" w:w="2493"/>
            <w:vAlign w:val="top"/>
          </w:tcPr>
          <w:p>
            <w:r>
              <w:t>keine sichere Aussage zum genauen Werkzeug</w:t>
            </w:r>
          </w:p>
        </w:tc>
      </w:tr>
      <w:tr>
        <w:tc>
          <w:tcPr>
            <w:tcW w:type="dxa" w:w="2493"/>
            <w:vAlign w:val="top"/>
          </w:tcPr>
          <w:p>
            <w:r>
              <w:t>Polizeifotos</w:t>
            </w:r>
          </w:p>
        </w:tc>
        <w:tc>
          <w:tcPr>
            <w:tcW w:type="dxa" w:w="2493"/>
            <w:vAlign w:val="top"/>
          </w:tcPr>
          <w:p>
            <w:r>
              <w:t>Einsatzakte PRev Nord</w:t>
            </w:r>
          </w:p>
        </w:tc>
        <w:tc>
          <w:tcPr>
            <w:tcW w:type="dxa" w:w="2493"/>
            <w:vAlign w:val="top"/>
          </w:tcPr>
          <w:p>
            <w:r>
              <w:t>Scherbenbild und Blutspuren</w:t>
            </w:r>
          </w:p>
        </w:tc>
        <w:tc>
          <w:tcPr>
            <w:tcW w:type="dxa" w:w="2493"/>
            <w:vAlign w:val="top"/>
          </w:tcPr>
          <w:p>
            <w:r>
              <w:t>keine Sequenz der Handlung</w:t>
            </w:r>
          </w:p>
        </w:tc>
      </w:tr>
      <w:tr>
        <w:tc>
          <w:tcPr>
            <w:tcW w:type="dxa" w:w="2493"/>
            <w:vAlign w:val="top"/>
          </w:tcPr>
          <w:p>
            <w:r>
              <w:t>Nachbarin Elena Maas</w:t>
            </w:r>
          </w:p>
        </w:tc>
        <w:tc>
          <w:tcPr>
            <w:tcW w:type="dxa" w:w="2493"/>
            <w:vAlign w:val="top"/>
          </w:tcPr>
          <w:p>
            <w:r>
              <w:t>Wohnung gegenüber</w:t>
            </w:r>
          </w:p>
        </w:tc>
        <w:tc>
          <w:tcPr>
            <w:tcW w:type="dxa" w:w="2493"/>
            <w:vAlign w:val="top"/>
          </w:tcPr>
          <w:p>
            <w:r>
              <w:t>Schreie und Satz: Lass mich raus</w:t>
            </w:r>
          </w:p>
        </w:tc>
        <w:tc>
          <w:tcPr>
            <w:tcW w:type="dxa" w:w="2493"/>
            <w:vAlign w:val="top"/>
          </w:tcPr>
          <w:p>
            <w:r>
              <w:t>keine Sicht auf den Flur</w:t>
            </w:r>
          </w:p>
        </w:tc>
      </w:tr>
      <w:tr>
        <w:tc>
          <w:tcPr>
            <w:tcW w:type="dxa" w:w="2493"/>
            <w:vAlign w:val="top"/>
          </w:tcPr>
          <w:p>
            <w:r>
              <w:t>Chatverlauf</w:t>
            </w:r>
          </w:p>
        </w:tc>
        <w:tc>
          <w:tcPr>
            <w:tcW w:type="dxa" w:w="2493"/>
            <w:vAlign w:val="top"/>
          </w:tcPr>
          <w:p>
            <w:r>
              <w:t>WhatsApp 02. bis 05.06.2026</w:t>
            </w:r>
          </w:p>
        </w:tc>
        <w:tc>
          <w:tcPr>
            <w:tcW w:type="dxa" w:w="2493"/>
            <w:vAlign w:val="top"/>
          </w:tcPr>
          <w:p>
            <w:r>
              <w:t>Drohende Nachrichten nach Einsatz</w:t>
            </w:r>
          </w:p>
        </w:tc>
        <w:tc>
          <w:tcPr>
            <w:tcW w:type="dxa" w:w="2493"/>
            <w:vAlign w:val="top"/>
          </w:tcPr>
          <w:p>
            <w:r>
              <w:t>Kontext vorheriger Trennung streitig</w:t>
            </w:r>
          </w:p>
        </w:tc>
      </w:tr>
      <w:tr>
        <w:tc>
          <w:tcPr>
            <w:tcW w:type="dxa" w:w="2493"/>
            <w:vAlign w:val="top"/>
          </w:tcPr>
          <w:p>
            <w:r>
              <w:t>Beschuldigteneinlassung</w:t>
            </w:r>
          </w:p>
        </w:tc>
        <w:tc>
          <w:tcPr>
            <w:tcW w:type="dxa" w:w="2493"/>
            <w:vAlign w:val="top"/>
          </w:tcPr>
          <w:p>
            <w:r>
              <w:t>Schreiben Verteidiger</w:t>
            </w:r>
          </w:p>
        </w:tc>
        <w:tc>
          <w:tcPr>
            <w:tcW w:type="dxa" w:w="2493"/>
            <w:vAlign w:val="top"/>
          </w:tcPr>
          <w:p>
            <w:r>
              <w:t>alternative Verletzungsursache</w:t>
            </w:r>
          </w:p>
        </w:tc>
        <w:tc>
          <w:tcPr>
            <w:tcW w:type="dxa" w:w="2493"/>
            <w:vAlign w:val="top"/>
          </w:tcPr>
          <w:p>
            <w:r>
              <w:t>widersprüchlich zur Scherbenposition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223 StGB</w:t>
      </w:r>
    </w:p>
    <w:p>
      <w:pPr>
        <w:pStyle w:val="ListBullet"/>
      </w:pPr>
      <w:r>
        <w:t>Paragraf 224 StGB</w:t>
      </w:r>
    </w:p>
    <w:p>
      <w:pPr>
        <w:pStyle w:val="ListBullet"/>
      </w:pPr>
      <w:r>
        <w:t>Paragraf 238 StGB</w:t>
      </w:r>
    </w:p>
    <w:p>
      <w:pPr>
        <w:pStyle w:val="ListBullet"/>
      </w:pPr>
      <w:r>
        <w:t>Paragraf 406h StPO</w:t>
      </w:r>
    </w:p>
    <w:p>
      <w:pPr>
        <w:pStyle w:val="ListBullet"/>
      </w:pPr>
      <w:r>
        <w:t>Gewaltschutzverfahren als Nebenstrecke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Dresden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Dresden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238 | Staatsanwaltschaft Dresden, 238 Js 9064/26 · 238 Js 9064/26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