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4"/>
        </w:rPr>
        <w:t>Rechtliche Arbeitsnotiz</w:t>
      </w:r>
    </w:p>
    <w:p>
      <w:r>
        <w:rPr>
          <w:i/>
          <w:sz w:val="20"/>
        </w:rPr>
        <w:t>Amtsgericht Dresden, Strafrichter Abteilung 238 | Staatsanwaltschaft Dresden, 238 Js 9064/26</w:t>
      </w:r>
    </w:p>
    <w:p>
      <w:pPr>
        <w:pStyle w:val="Heading2"/>
      </w:pPr>
      <w:r>
        <w:t>Rechtlicher Einstieg</w:t>
      </w:r>
    </w:p>
    <w:p>
      <w:pPr>
        <w:spacing w:after="120" w:line="259" w:lineRule="auto"/>
      </w:pPr>
      <w:r>
        <w:t>Die Prüfung beginnt mit der Verfahrensrolle und dem konkreten Arbeitsprodukt: Haft, Einstellung, Schutzantrag, Anklageprüfung, Hauptverhandlung oder Rechtsmittel.</w:t>
      </w:r>
    </w:p>
    <w:p>
      <w:pPr>
        <w:spacing w:after="120" w:line="259" w:lineRule="auto"/>
      </w:pPr>
      <w:r>
        <w:t>Danach werden Tatbestandsmerkmale, subjektiver Tatbestand und Beweisbarkeit getrennt. Eine plausible Verteidigungslinie ersetzt keinen Beweiswertvergleich; eine plausible Anklagehypothese ersetzt keine Lückenanalyse.</w:t>
      </w:r>
    </w:p>
    <w:p>
      <w:pPr>
        <w:spacing w:after="120" w:line="259" w:lineRule="auto"/>
      </w:pPr>
      <w:r>
        <w:t>Normanker: Paragraf 223 StGB, Paragraf 224 StGB, Paragraf 238 StGB, Paragraf 406h StPO, Gewaltschutzverfahren als Nebenstrecke.</w:t>
      </w:r>
    </w:p>
    <w:p>
      <w:pPr>
        <w:pStyle w:val="Heading2"/>
      </w:pPr>
      <w:r>
        <w:t>Arbeitsmatrix</w:t>
      </w:r>
    </w:p>
    <w:p>
      <w:pPr>
        <w:pStyle w:val="ListBullet"/>
      </w:pPr>
      <w:r>
        <w:t>Tatbestandsmerkmal: Welche konkrete Tatsache trägt es?</w:t>
      </w:r>
    </w:p>
    <w:p>
      <w:pPr>
        <w:pStyle w:val="ListBullet"/>
      </w:pPr>
      <w:r>
        <w:t>Beweismittel: Ist es original, vollständig, verwertbar und in sich konstant?</w:t>
      </w:r>
    </w:p>
    <w:p>
      <w:pPr>
        <w:pStyle w:val="ListBullet"/>
      </w:pPr>
      <w:r>
        <w:t>Gegenposition: Welches alternative Geschehen ist aktenkundig und nicht nur spekulativ?</w:t>
      </w:r>
    </w:p>
    <w:p>
      <w:pPr>
        <w:pStyle w:val="ListBullet"/>
      </w:pPr>
      <w:r>
        <w:t>Risiko: Welche Nebenfolge droht unabhängig vom Ausgang der Hauptsache?</w:t>
      </w:r>
    </w:p>
    <w:p>
      <w:pPr>
        <w:pStyle w:val="ListBullet"/>
      </w:pPr>
      <w:r>
        <w:t>Output: konkreter Antrag oder konkreter Entwurf, keine bloße Rechtsmeinung.</w:t>
      </w:r>
    </w:p>
    <w:p>
      <w:pPr>
        <w:pStyle w:val="Heading2"/>
      </w:pPr>
      <w:r>
        <w:t>Nächster Schritt</w:t>
      </w:r>
    </w:p>
    <w:p>
      <w:pPr>
        <w:spacing w:after="120" w:line="259" w:lineRule="auto"/>
      </w:pPr>
      <w:r>
        <w:t>Nebenklagefähige Aktenauswertung, Schutzantragsentwurf und Beweisanregung zur Sicherung der Originalfotos sowie der Funkstreifenwagen-Bodycam-Metadaten.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  <w:jc w:val="left"/>
    </w:pPr>
    <w:r>
      <w:rPr>
        <w:rFonts w:ascii="Times New Roman" w:hAnsi="Times New Roman"/>
        <w:color w:val="6B6B66"/>
        <w:sz w:val="16"/>
      </w:rPr>
    </w:r>
    <w:r>
      <w:rPr>
        <w:rFonts w:ascii="Times New Roman" w:hAnsi="Times New Roman"/>
        <w:color w:val="6B6B66"/>
        <w:sz w:val="16"/>
      </w:rPr>
      <w:t>Amtsgericht Dresden</w:t>
    </w:r>
    <w:r>
      <w:rPr>
        <w:rFonts w:ascii="Times New Roman" w:hAnsi="Times New Roman"/>
        <w:color w:val="6B6B66"/>
        <w:sz w:val="16"/>
      </w:rPr>
      <w:tab/>
      <w:t xml:space="preserve">Seite </w:t>
    </w:r>
    <w:r>
      <w:rPr>
        <w:rFonts w:ascii="Times New Roman" w:hAnsi="Times New Roman"/>
        <w:color w:val="6B6B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/>
        <w:color w:val="3B3F45"/>
        <w:sz w:val="24"/>
      </w:rPr>
      <w:t>Amtsgericht Dresden</w:t>
    </w:r>
  </w:p>
  <w:p>
    <w:pPr>
      <w:jc w:val="left"/>
      <w:pBdr>
        <w:bottom w:val="single" w:sz="6" w:space="2" w:color="3B3F45"/>
      </w:pBdr>
    </w:pPr>
    <w:r>
      <w:rPr>
        <w:rFonts w:ascii="Times New Roman" w:hAnsi="Times New Roman"/>
        <w:color w:val="6B6B66"/>
        <w:sz w:val="16"/>
      </w:rPr>
      <w:t>Strafrichter Abteilung 238 | Staatsanwaltschaft Dresden, 238 Js 9064/26 · 238 Js 9064/26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