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Rechtliche Arbeitsnotiz</w:t>
      </w:r>
    </w:p>
    <w:p>
      <w:r>
        <w:rPr>
          <w:i/>
          <w:sz w:val="20"/>
        </w:rPr>
        <w:t>Amtsgericht Hamburg, Jugendrichterin Abteilung 611 | Staatsanwaltschaft Hamburg, Jugenddezernat 144 Js 2231/26</w:t>
      </w:r>
    </w:p>
    <w:p>
      <w:pPr>
        <w:pStyle w:val="Heading2"/>
      </w:pPr>
      <w:r>
        <w:t>Rechtlicher Einstieg</w:t>
      </w:r>
    </w:p>
    <w:p>
      <w:pPr>
        <w:spacing w:after="120" w:line="259" w:lineRule="auto"/>
      </w:pPr>
      <w:r>
        <w:t>Die Prüfung beginnt mit der Verfahrensrolle und dem konkreten Arbeitsprodukt: Haft, Einstellung, Schutzantrag, Anklageprüfung, Hauptverhandlung oder Rechtsmittel.</w:t>
      </w:r>
    </w:p>
    <w:p>
      <w:pPr>
        <w:spacing w:after="120" w:line="259" w:lineRule="auto"/>
      </w:pPr>
      <w:r>
        <w:t>Danach werden Tatbestandsmerkmale, subjektiver Tatbestand und Beweisbarkeit getrennt. Eine plausible Verteidigungslinie ersetzt keinen Beweiswertvergleich; eine plausible Anklagehypothese ersetzt keine Lückenanalyse.</w:t>
      </w:r>
    </w:p>
    <w:p>
      <w:pPr>
        <w:pStyle w:val="ListBullet"/>
      </w:pPr>
      <w:r>
        <w:t>Normanker: Paragraf 249 StGB, Paragraf 52 StGB, Paragraf 68 JGG, Paragraf 45 JGG, Paragraf 47 JGG, Paragraf 140 StPO.</w:t>
      </w:r>
    </w:p>
    <w:p>
      <w:pPr>
        <w:pStyle w:val="Heading2"/>
      </w:pPr>
      <w:r>
        <w:t>Arbeitsmatrix</w:t>
      </w:r>
    </w:p>
    <w:p>
      <w:pPr>
        <w:pStyle w:val="ListBullet"/>
      </w:pPr>
      <w:r>
        <w:t>Tatbestandsmerkmal: Welche konkrete Tatsache trägt es?</w:t>
      </w:r>
    </w:p>
    <w:p>
      <w:pPr>
        <w:pStyle w:val="ListBullet"/>
      </w:pPr>
      <w:r>
        <w:t>Beweismittel: Ist es original, vollständig, verwertbar und in sich konstant?</w:t>
      </w:r>
    </w:p>
    <w:p>
      <w:pPr>
        <w:pStyle w:val="ListBullet"/>
      </w:pPr>
      <w:r>
        <w:t>Gegenposition: Welches alternative Geschehen ist aktenkundig und nicht nur spekulativ?</w:t>
      </w:r>
    </w:p>
    <w:p>
      <w:pPr>
        <w:pStyle w:val="ListBullet"/>
      </w:pPr>
      <w:r>
        <w:t>Risiko: Welche Nebenfolge droht unabhängig vom Ausgang der Hauptsache?</w:t>
      </w:r>
    </w:p>
    <w:p>
      <w:pPr>
        <w:pStyle w:val="ListBullet"/>
      </w:pPr>
      <w:r>
        <w:t>Output: konkreter Antrag oder konkreter Entwurf, keine bloße Rechtsmeinung.</w:t>
      </w:r>
    </w:p>
    <w:p>
      <w:pPr>
        <w:pStyle w:val="Heading2"/>
      </w:pPr>
      <w:r>
        <w:t>Nächster Schritt</w:t>
      </w:r>
    </w:p>
    <w:p>
      <w:pPr>
        <w:spacing w:after="120" w:line="259" w:lineRule="auto"/>
      </w:pPr>
      <w:r>
        <w:t>Antrag auf vollständige Video- und Chat-Auswertung, Schutzschrift zur Pflichtverteidigung und Vorschlag eines Täter-Opfer-Ausgleichs vor Anklageerhebung.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Hamburg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Hamburg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Jugendrichterin Abteilung 611 | Staatsanwaltschaft Hamburg, Jugenddezernat 144 Js 2231/26 · 144 Js 2231/26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