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München I, Wirtschaftsstrafkammer 6 | Staatsanwaltschaft München I, 6 Js 9940/26</w:t>
      </w:r>
    </w:p>
    <w:p>
      <w:pPr>
        <w:pStyle w:val="Heading2"/>
      </w:pPr>
      <w:r>
        <w:t>Mandatsziel</w:t>
      </w:r>
    </w:p>
    <w:p>
      <w:pPr>
        <w:spacing w:after="120" w:line="259" w:lineRule="auto"/>
      </w:pPr>
      <w:r>
        <w:t>Markus Eberl, Stadtoberinspektor in der Vergabestelle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Vergabematrix technisch nachrechnen, Vorteilsliste bewerten, dienstliche Zuständigkeit sauber abgrenzen und Stellungnahme ohne vorschnelle Freundschaftsrhetorik vorbereiten.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Markus Eberl</w:t>
            </w:r>
          </w:p>
        </w:tc>
      </w:tr>
      <w:tr>
        <w:tc>
          <w:tcPr>
            <w:tcW w:type="dxa" w:w="4986"/>
            <w:vAlign w:val="top"/>
          </w:tcPr>
          <w:p>
            <w:r>
              <w:t>Mandatsbezug</w:t>
            </w:r>
          </w:p>
        </w:tc>
        <w:tc>
          <w:tcPr>
            <w:tcW w:type="dxa" w:w="4986"/>
            <w:vAlign w:val="top"/>
          </w:tcPr>
          <w:p>
            <w:r>
              <w:t>Markus Eberl, Stadtoberinspektor in der Vergabestelle</w:t>
            </w:r>
          </w:p>
        </w:tc>
      </w:tr>
      <w:tr>
        <w:tc>
          <w:tcPr>
            <w:tcW w:type="dxa" w:w="4986"/>
            <w:vAlign w:val="top"/>
          </w:tcPr>
          <w:p>
            <w:r>
              <w:t>Gericht</w:t>
            </w:r>
          </w:p>
        </w:tc>
        <w:tc>
          <w:tcPr>
            <w:tcW w:type="dxa" w:w="4986"/>
            <w:vAlign w:val="top"/>
          </w:tcPr>
          <w:p>
            <w:r>
              <w:t>Landgericht München I, Wirtschaftsstrafkammer 6</w:t>
            </w:r>
          </w:p>
        </w:tc>
      </w:tr>
      <w:tr>
        <w:tc>
          <w:tcPr>
            <w:tcW w:type="dxa" w:w="4986"/>
            <w:vAlign w:val="top"/>
          </w:tcPr>
          <w:p>
            <w:r>
              <w:t>Staatsanwaltschaft</w:t>
            </w:r>
          </w:p>
        </w:tc>
        <w:tc>
          <w:tcPr>
            <w:tcW w:type="dxa" w:w="4986"/>
            <w:vAlign w:val="top"/>
          </w:tcPr>
          <w:p>
            <w:r>
              <w:t>Staatsanwaltschaft München I, 6 Js 9940/26</w:t>
            </w:r>
          </w:p>
        </w:tc>
      </w:tr>
      <w:tr>
        <w:tc>
          <w:tcPr>
            <w:tcW w:type="dxa" w:w="4986"/>
            <w:vAlign w:val="top"/>
          </w:tcPr>
          <w:p>
            <w:r>
              <w:t>Verteidigung oder Vertretung</w:t>
            </w:r>
          </w:p>
        </w:tc>
        <w:tc>
          <w:tcPr>
            <w:tcW w:type="dxa" w:w="4986"/>
            <w:vAlign w:val="top"/>
          </w:tcPr>
          <w:p>
            <w:r>
              <w:t>RA Dr. Livia Sauter, München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München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München</w:t>
    </w:r>
  </w:p>
  <w:p>
    <w:pPr>
      <w:jc w:val="left"/>
      <w:pBdr>
        <w:bottom w:val="single" w:sz="6" w:space="2" w:color="3B3F45"/>
      </w:pBdr>
    </w:pPr>
    <w:r>
      <w:rPr>
        <w:rFonts w:ascii="Times New Roman" w:hAnsi="Times New Roman"/>
        <w:color w:val="6B6B66"/>
        <w:sz w:val="16"/>
      </w:rPr>
      <w:t>Wirtschaftsstrafkammer 6 | Staatsanwaltschaft München I, 6 Js 9940/26 · 6 Js 9940/26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