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Ermittlungsakte Auszüge und Beweislage</w:t>
      </w:r>
    </w:p>
    <w:p>
      <w:r>
        <w:rPr>
          <w:i/>
          <w:sz w:val="20"/>
        </w:rPr>
        <w:t>Bundesgerichtshof über Landgericht Duisburg, 7 KLs 220 Js 1180/25 | Staatsanwaltschaft Duisburg, 220 Js 1180/25</w:t>
      </w:r>
    </w:p>
    <w:p>
      <w:pPr>
        <w:pStyle w:val="Heading2"/>
      </w:pPr>
      <w:r>
        <w:t>Aktenauszug</w:t>
      </w:r>
    </w:p>
    <w:p>
      <w:pPr>
        <w:spacing w:after="120" w:line="259" w:lineRule="auto"/>
      </w:pPr>
      <w:r>
        <w:t>Staatsanwaltschaft Duisburg, 220 Js 1180/25 führt die Sache derzeit mit Schwerpunkt auf: Verurteilung wegen schweren Raubes; Revision mit Verfahrens- und Sachrüge; Beweisantragsablehnung nach Paragraf 244 StPO.</w:t>
      </w:r>
    </w:p>
    <w:p>
      <w:pPr>
        <w:spacing w:after="120" w:line="259" w:lineRule="auto"/>
      </w:pPr>
      <w:r>
        <w:t>Die Ermittlungsakte enthält bereits mehrere belastende Indizien, aber bei einzelnen Beweismitteln fehlen Rohdaten, Sicherungsvermerke oder Anschlussvernehmungen.</w:t>
      </w:r>
    </w:p>
    <w:p>
      <w:pPr>
        <w:spacing w:after="120" w:line="259" w:lineRule="auto"/>
      </w:pPr>
      <w:r>
        <w:t>Für eine gerichtsfeste Bearbeitung müssen Blattstellen, Dateiherkunft und Beweisrichtung nachgetragen werden. Jede spätere Stellungnahme sollte sichtbar machen, was bewiesen ist, was nur behauptet wird und was noch aufgeklärt werden muss.</w:t>
      </w:r>
    </w:p>
    <w:p>
      <w:pPr>
        <w:pStyle w:val="Heading2"/>
      </w:pPr>
      <w:r>
        <w:t>Beweismittelübersicht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Spalte 1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2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3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4</w:t>
            </w:r>
          </w:p>
        </w:tc>
      </w:tr>
      <w:tr>
        <w:tc>
          <w:tcPr>
            <w:tcW w:type="dxa" w:w="2493"/>
            <w:vAlign w:val="top"/>
          </w:tcPr>
          <w:p>
            <w:r>
              <w:t>Beweisantrag</w:t>
            </w:r>
          </w:p>
        </w:tc>
        <w:tc>
          <w:tcPr>
            <w:tcW w:type="dxa" w:w="2493"/>
            <w:vAlign w:val="top"/>
          </w:tcPr>
          <w:p>
            <w:r>
              <w:t>Schriftsatz Verteidigung</w:t>
            </w:r>
          </w:p>
        </w:tc>
        <w:tc>
          <w:tcPr>
            <w:tcW w:type="dxa" w:w="2493"/>
            <w:vAlign w:val="top"/>
          </w:tcPr>
          <w:p>
            <w:r>
              <w:t>konkretes Alibi</w:t>
            </w:r>
          </w:p>
        </w:tc>
        <w:tc>
          <w:tcPr>
            <w:tcW w:type="dxa" w:w="2493"/>
            <w:vAlign w:val="top"/>
          </w:tcPr>
          <w:p>
            <w:r>
              <w:t>Protokollwortlaut verkürzt</w:t>
            </w:r>
          </w:p>
        </w:tc>
      </w:tr>
      <w:tr>
        <w:tc>
          <w:tcPr>
            <w:tcW w:type="dxa" w:w="2493"/>
            <w:vAlign w:val="top"/>
          </w:tcPr>
          <w:p>
            <w:r>
              <w:t>Urteilsgründe</w:t>
            </w:r>
          </w:p>
        </w:tc>
        <w:tc>
          <w:tcPr>
            <w:tcW w:type="dxa" w:w="2493"/>
            <w:vAlign w:val="top"/>
          </w:tcPr>
          <w:p>
            <w:r>
              <w:t>LG Duisburg</w:t>
            </w:r>
          </w:p>
        </w:tc>
        <w:tc>
          <w:tcPr>
            <w:tcW w:type="dxa" w:w="2493"/>
            <w:vAlign w:val="top"/>
          </w:tcPr>
          <w:p>
            <w:r>
              <w:t>knappe Ablehnung</w:t>
            </w:r>
          </w:p>
        </w:tc>
        <w:tc>
          <w:tcPr>
            <w:tcW w:type="dxa" w:w="2493"/>
            <w:vAlign w:val="top"/>
          </w:tcPr>
          <w:p>
            <w:r>
              <w:t>keine Vernehmung Taxifahrer</w:t>
            </w:r>
          </w:p>
        </w:tc>
      </w:tr>
      <w:tr>
        <w:tc>
          <w:tcPr>
            <w:tcW w:type="dxa" w:w="2493"/>
            <w:vAlign w:val="top"/>
          </w:tcPr>
          <w:p>
            <w:r>
              <w:t>Taxi-App-Export</w:t>
            </w:r>
          </w:p>
        </w:tc>
        <w:tc>
          <w:tcPr>
            <w:tcW w:type="dxa" w:w="2493"/>
            <w:vAlign w:val="top"/>
          </w:tcPr>
          <w:p>
            <w:r>
              <w:t>Fahrtenliste Nowak</w:t>
            </w:r>
          </w:p>
        </w:tc>
        <w:tc>
          <w:tcPr>
            <w:tcW w:type="dxa" w:w="2493"/>
            <w:vAlign w:val="top"/>
          </w:tcPr>
          <w:p>
            <w:r>
              <w:t>Fahrt Bahnhof zur Tatzeit</w:t>
            </w:r>
          </w:p>
        </w:tc>
        <w:tc>
          <w:tcPr>
            <w:tcW w:type="dxa" w:w="2493"/>
            <w:vAlign w:val="top"/>
          </w:tcPr>
          <w:p>
            <w:r>
              <w:t>GPS-Genauigkeit begrenzt</w:t>
            </w:r>
          </w:p>
        </w:tc>
      </w:tr>
      <w:tr>
        <w:tc>
          <w:tcPr>
            <w:tcW w:type="dxa" w:w="2493"/>
            <w:vAlign w:val="top"/>
          </w:tcPr>
          <w:p>
            <w:r>
              <w:t>Video Getränkemarkt</w:t>
            </w:r>
          </w:p>
        </w:tc>
        <w:tc>
          <w:tcPr>
            <w:tcW w:type="dxa" w:w="2493"/>
            <w:vAlign w:val="top"/>
          </w:tcPr>
          <w:p>
            <w:r>
              <w:t>Kamera 2</w:t>
            </w:r>
          </w:p>
        </w:tc>
        <w:tc>
          <w:tcPr>
            <w:tcW w:type="dxa" w:w="2493"/>
            <w:vAlign w:val="top"/>
          </w:tcPr>
          <w:p>
            <w:r>
              <w:t>Tätergröße ungefähr passend</w:t>
            </w:r>
          </w:p>
        </w:tc>
        <w:tc>
          <w:tcPr>
            <w:tcW w:type="dxa" w:w="2493"/>
            <w:vAlign w:val="top"/>
          </w:tcPr>
          <w:p>
            <w:r>
              <w:t>Gesicht unscharf</w:t>
            </w:r>
          </w:p>
        </w:tc>
      </w:tr>
      <w:tr>
        <w:tc>
          <w:tcPr>
            <w:tcW w:type="dxa" w:w="2493"/>
            <w:vAlign w:val="top"/>
          </w:tcPr>
          <w:p>
            <w:r>
              <w:t>Mitangeklagter</w:t>
            </w:r>
          </w:p>
        </w:tc>
        <w:tc>
          <w:tcPr>
            <w:tcW w:type="dxa" w:w="2493"/>
            <w:vAlign w:val="top"/>
          </w:tcPr>
          <w:p>
            <w:r>
              <w:t>Belastungszeuge</w:t>
            </w:r>
          </w:p>
        </w:tc>
        <w:tc>
          <w:tcPr>
            <w:tcW w:type="dxa" w:w="2493"/>
            <w:vAlign w:val="top"/>
          </w:tcPr>
          <w:p>
            <w:r>
              <w:t>direkte Belastung</w:t>
            </w:r>
          </w:p>
        </w:tc>
        <w:tc>
          <w:tcPr>
            <w:tcW w:type="dxa" w:w="2493"/>
            <w:vAlign w:val="top"/>
          </w:tcPr>
          <w:p>
            <w:r>
              <w:t>Kronzeugeninteresse möglich</w:t>
            </w:r>
          </w:p>
        </w:tc>
      </w:tr>
    </w:tbl>
    <w:p/>
    <w:p>
      <w:pPr>
        <w:pStyle w:val="Heading2"/>
      </w:pPr>
      <w:r>
        <w:t>Normanker</w:t>
      </w:r>
    </w:p>
    <w:p>
      <w:pPr>
        <w:pStyle w:val="ListBullet"/>
      </w:pPr>
      <w:r>
        <w:t>Paragraf 244 StPO</w:t>
      </w:r>
    </w:p>
    <w:p>
      <w:pPr>
        <w:pStyle w:val="ListBullet"/>
      </w:pPr>
      <w:r>
        <w:t>Paragraf 344 StPO</w:t>
      </w:r>
    </w:p>
    <w:p>
      <w:pPr>
        <w:pStyle w:val="ListBullet"/>
      </w:pPr>
      <w:r>
        <w:t>Paragraf 345 StPO</w:t>
      </w:r>
    </w:p>
    <w:p>
      <w:pPr>
        <w:pStyle w:val="ListBullet"/>
      </w:pPr>
      <w:r>
        <w:t>Paragraf 261 StPO</w:t>
      </w:r>
    </w:p>
    <w:p>
      <w:pPr>
        <w:pStyle w:val="ListBullet"/>
      </w:pPr>
      <w:r>
        <w:t>Paragraf 337 StPO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Bundesgerichtshof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Bundesgerichtshof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7 KLs 220 Js 1180/25 | Staatsanwaltschaft Duisburg, 220 Js 1180/25 · 220 Js 1180/25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