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Landgericht Mainz, Jugend- und Schutzkammer 3 | Staatsanwaltschaft Mainz, 3 Js 3081/26</w:t>
      </w:r>
    </w:p>
    <w:p>
      <w:pPr>
        <w:pStyle w:val="Heading2"/>
      </w:pPr>
      <w:r>
        <w:t>Mandatsziel</w:t>
      </w:r>
    </w:p>
    <w:p>
      <w:pPr>
        <w:spacing w:after="120" w:line="259" w:lineRule="auto"/>
      </w:pPr>
      <w:r>
        <w:t>Leonie Hartmann, Geschädigte und Nebenklageinteressentin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Nebenklageanschluss, Schutzanträge, behutsame Vorbereitung der Vernehmung und Antrag auf Sicherung der Original-Sprachnachrichten samt Metadaten.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David Reimers</w:t>
            </w:r>
          </w:p>
        </w:tc>
      </w:tr>
      <w:tr>
        <w:tc>
          <w:tcPr>
            <w:tcW w:type="dxa" w:w="4986"/>
            <w:vAlign w:val="top"/>
          </w:tcPr>
          <w:p>
            <w:r>
              <w:t>Mandatsbezug</w:t>
            </w:r>
          </w:p>
        </w:tc>
        <w:tc>
          <w:tcPr>
            <w:tcW w:type="dxa" w:w="4986"/>
            <w:vAlign w:val="top"/>
          </w:tcPr>
          <w:p>
            <w:r>
              <w:t>Leonie Hartmann, Geschädigte und Nebenklageinteressentin</w:t>
            </w:r>
          </w:p>
        </w:tc>
      </w:tr>
      <w:tr>
        <w:tc>
          <w:tcPr>
            <w:tcW w:type="dxa" w:w="4986"/>
            <w:vAlign w:val="top"/>
          </w:tcPr>
          <w:p>
            <w:r>
              <w:t>Gericht</w:t>
            </w:r>
          </w:p>
        </w:tc>
        <w:tc>
          <w:tcPr>
            <w:tcW w:type="dxa" w:w="4986"/>
            <w:vAlign w:val="top"/>
          </w:tcPr>
          <w:p>
            <w:r>
              <w:t>Landgericht Mainz, Jugend- und Schutzkammer 3</w:t>
            </w:r>
          </w:p>
        </w:tc>
      </w:tr>
      <w:tr>
        <w:tc>
          <w:tcPr>
            <w:tcW w:type="dxa" w:w="4986"/>
            <w:vAlign w:val="top"/>
          </w:tcPr>
          <w:p>
            <w:r>
              <w:t>Staatsanwaltschaft</w:t>
            </w:r>
          </w:p>
        </w:tc>
        <w:tc>
          <w:tcPr>
            <w:tcW w:type="dxa" w:w="4986"/>
            <w:vAlign w:val="top"/>
          </w:tcPr>
          <w:p>
            <w:r>
              <w:t>Staatsanwaltschaft Mainz, 3 Js 3081/26</w:t>
            </w:r>
          </w:p>
        </w:tc>
      </w:tr>
      <w:tr>
        <w:tc>
          <w:tcPr>
            <w:tcW w:type="dxa" w:w="4986"/>
            <w:vAlign w:val="top"/>
          </w:tcPr>
          <w:p>
            <w:r>
              <w:t>Verteidigung oder Vertretung</w:t>
            </w:r>
          </w:p>
        </w:tc>
        <w:tc>
          <w:tcPr>
            <w:tcW w:type="dxa" w:w="4986"/>
            <w:vAlign w:val="top"/>
          </w:tcPr>
          <w:p>
            <w:r>
              <w:t>RA Dr. Miriam Kelter, Mainz</w:t>
            </w:r>
          </w:p>
        </w:tc>
      </w:tr>
    </w:tbl>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Mainz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Mainz</w:t>
    </w:r>
  </w:p>
  <w:p>
    <w:pPr>
      <w:jc w:val="left"/>
      <w:pBdr>
        <w:bottom w:val="single" w:sz="6" w:space="2" w:color="3B3F45"/>
      </w:pBdr>
    </w:pPr>
    <w:r>
      <w:rPr>
        <w:rFonts w:ascii="Times New Roman" w:hAnsi="Times New Roman"/>
        <w:color w:val="6B6B66"/>
        <w:sz w:val="16"/>
      </w:rPr>
      <w:t>Jugend- und Schutzkammer 3 | Staatsanwaltschaft Mainz, 3 Js 3081/26 · 3 Js 3081/26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