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Landgericht Mainz, Jugend- und Schutzkammer 3 | Staatsanwaltschaft Mainz, 3 Js 3081/26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177 StGB, Paragraf 395 StPO, Paragraf 406g StPO, Paragraf 247 StPO, Paragraf 244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Nebenklageanschluss, Schutzanträge, behutsame Vorbereitung der Vernehmung und Antrag auf Sicherung der Original-Sprachnachrichten samt Metadaten.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Mainz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Mainz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Jugend- und Schutzkammer 3 | Staatsanwaltschaft Mainz, 3 Js 3081/26 · 3 Js 3081/26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