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Mandatsnotiz Erstgespräch</w:t>
      </w:r>
    </w:p>
    <w:p>
      <w:r>
        <w:rPr>
          <w:i/>
          <w:sz w:val="20"/>
        </w:rPr>
        <w:t>Amtsgericht Hannover, Strafrichter Abteilung 312 | Staatsanwaltschaft Hannover, 312 Js 5020/26</w:t>
      </w:r>
    </w:p>
    <w:p>
      <w:pPr>
        <w:pStyle w:val="Heading2"/>
      </w:pPr>
      <w:r>
        <w:t>Mandatsziel</w:t>
      </w:r>
    </w:p>
    <w:p>
      <w:pPr>
        <w:spacing w:after="120" w:line="259" w:lineRule="auto"/>
      </w:pPr>
      <w:r>
        <w:t>Clara Wienholt, Geschädigte und Antragstellerin im Gewaltschutzverfahren benötigt eine schnelle, aber belastbare Einordnung der Lage. Der erste Schritt ist kein Rundumschlag, sondern die Sicherung der fristkritischen Punkte, die Trennung der Rollen und die Entscheidung, ob geschwiegen, vorgetragen oder ein Antrag gestellt wird.</w:t>
      </w:r>
    </w:p>
    <w:p>
      <w:pPr>
        <w:pStyle w:val="Heading2"/>
      </w:pPr>
      <w:r>
        <w:t>Sofortfragen</w:t>
      </w:r>
    </w:p>
    <w:p>
      <w:pPr>
        <w:pStyle w:val="ListBullet"/>
      </w:pPr>
      <w:r>
        <w:t>Welche Frist läuft tatsächlich und wodurch wurde sie ausgelöst?</w:t>
      </w:r>
    </w:p>
    <w:p>
      <w:pPr>
        <w:pStyle w:val="ListBullet"/>
      </w:pPr>
      <w:r>
        <w:t>Welche Originaldaten fehlen noch und wer besitzt sie?</w:t>
      </w:r>
    </w:p>
    <w:p>
      <w:pPr>
        <w:pStyle w:val="ListBullet"/>
      </w:pPr>
      <w:r>
        <w:t>Welche Einlassung ist bereits aktenkundig oder faktisch erfolgt?</w:t>
      </w:r>
    </w:p>
    <w:p>
      <w:pPr>
        <w:pStyle w:val="ListBullet"/>
      </w:pPr>
      <w:r>
        <w:t>Welche Nebenfolge droht sofort praktisch zu wirken?</w:t>
      </w:r>
    </w:p>
    <w:p>
      <w:pPr>
        <w:spacing w:after="120" w:line="259" w:lineRule="auto"/>
      </w:pPr>
      <w:r>
        <w:t>Chronologie gerichtsfest verdichten, Plattformdaten und SIM-Abfragen nachfassen, Schutzantrag finalisieren und Beweisübersicht nach Kontaktkanälen erstellen.</w:t>
      </w:r>
    </w:p>
    <w:p>
      <w:pPr>
        <w:pStyle w:val="Heading2"/>
      </w:pPr>
      <w:r>
        <w:t>Beteiligte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Punkt</w:t>
            </w:r>
          </w:p>
        </w:tc>
        <w:tc>
          <w:tcPr>
            <w:tcW w:type="dxa" w:w="4986"/>
          </w:tcPr>
          <w:p>
            <w:r>
              <w:rPr>
                <w:b/>
              </w:rPr>
              <w:t>Inhalt</w:t>
            </w:r>
          </w:p>
        </w:tc>
      </w:tr>
      <w:tr>
        <w:tc>
          <w:tcPr>
            <w:tcW w:type="dxa" w:w="4986"/>
            <w:vAlign w:val="top"/>
          </w:tcPr>
          <w:p>
            <w:r>
              <w:t>Beschuldigte oder betroffene Person</w:t>
            </w:r>
          </w:p>
        </w:tc>
        <w:tc>
          <w:tcPr>
            <w:tcW w:type="dxa" w:w="4986"/>
            <w:vAlign w:val="top"/>
          </w:tcPr>
          <w:p>
            <w:r>
              <w:t>Tobias Mertens</w:t>
            </w:r>
          </w:p>
        </w:tc>
      </w:tr>
      <w:tr>
        <w:tc>
          <w:tcPr>
            <w:tcW w:type="dxa" w:w="4986"/>
            <w:vAlign w:val="top"/>
          </w:tcPr>
          <w:p>
            <w:r>
              <w:t>Mandatsbezug</w:t>
            </w:r>
          </w:p>
        </w:tc>
        <w:tc>
          <w:tcPr>
            <w:tcW w:type="dxa" w:w="4986"/>
            <w:vAlign w:val="top"/>
          </w:tcPr>
          <w:p>
            <w:r>
              <w:t>Clara Wienholt, Geschädigte und Antragstellerin im Gewaltschutzverfahren</w:t>
            </w:r>
          </w:p>
        </w:tc>
      </w:tr>
      <w:tr>
        <w:tc>
          <w:tcPr>
            <w:tcW w:type="dxa" w:w="4986"/>
            <w:vAlign w:val="top"/>
          </w:tcPr>
          <w:p>
            <w:r>
              <w:t>Gericht</w:t>
            </w:r>
          </w:p>
        </w:tc>
        <w:tc>
          <w:tcPr>
            <w:tcW w:type="dxa" w:w="4986"/>
            <w:vAlign w:val="top"/>
          </w:tcPr>
          <w:p>
            <w:r>
              <w:t>Amtsgericht Hannover, Strafrichter Abteilung 312</w:t>
            </w:r>
          </w:p>
        </w:tc>
      </w:tr>
      <w:tr>
        <w:tc>
          <w:tcPr>
            <w:tcW w:type="dxa" w:w="4986"/>
            <w:vAlign w:val="top"/>
          </w:tcPr>
          <w:p>
            <w:r>
              <w:t>Staatsanwaltschaft</w:t>
            </w:r>
          </w:p>
        </w:tc>
        <w:tc>
          <w:tcPr>
            <w:tcW w:type="dxa" w:w="4986"/>
            <w:vAlign w:val="top"/>
          </w:tcPr>
          <w:p>
            <w:r>
              <w:t>Staatsanwaltschaft Hannover, 312 Js 5020/26</w:t>
            </w:r>
          </w:p>
        </w:tc>
      </w:tr>
      <w:tr>
        <w:tc>
          <w:tcPr>
            <w:tcW w:type="dxa" w:w="4986"/>
            <w:vAlign w:val="top"/>
          </w:tcPr>
          <w:p>
            <w:r>
              <w:t>Verteidigung oder Vertretung</w:t>
            </w:r>
          </w:p>
        </w:tc>
        <w:tc>
          <w:tcPr>
            <w:tcW w:type="dxa" w:w="4986"/>
            <w:vAlign w:val="top"/>
          </w:tcPr>
          <w:p>
            <w:r>
              <w:t>RAin Nora Hagedorn, Hannover</w:t>
            </w:r>
          </w:p>
        </w:tc>
      </w:tr>
    </w:tbl>
    <w:p/>
    <w:sectPr w:rsidR="00FC693F" w:rsidRPr="0006063C" w:rsidSect="00034616">
      <w:headerReference w:type="default" r:id="rId9"/>
      <w:footerReference w:type="default" r:id="rId10"/>
      <w:pgSz w:w="12240" w:h="15840"/>
      <w:pgMar w:top="1020" w:right="1134" w:bottom="1020"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Hannover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Hannover</w:t>
    </w:r>
  </w:p>
  <w:p>
    <w:pPr>
      <w:jc w:val="left"/>
      <w:pBdr>
        <w:bottom w:val="single" w:sz="6" w:space="2" w:color="3B3F45"/>
      </w:pBdr>
    </w:pPr>
    <w:r>
      <w:rPr>
        <w:rFonts w:ascii="Times New Roman" w:hAnsi="Times New Roman"/>
        <w:color w:val="6B6B66"/>
        <w:sz w:val="16"/>
      </w:rPr>
      <w:t>Strafrichter Abteilung 312 | Staatsanwaltschaft Hannover, 312 Js 5020/26 · 312 Js 5020/26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