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Amtsgericht Hannover, Strafrichter Abteilung 312 | Staatsanwaltschaft Hannover, 312 Js 5020/26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mit der Verfahrensrolle und dem konkreten Arbeitsprodukt: Haft, Einstellung, Schutzantrag, Anklageprüfung, Hauptverhandlung oder Rechtsmittel.</w:t>
      </w:r>
    </w:p>
    <w:p>
      <w:pPr>
        <w:spacing w:after="120" w:line="259" w:lineRule="auto"/>
      </w:pPr>
      <w:r>
        <w:t>Danach werden Tatbestandsmerkmale, subjektiver Tatbestand und Beweisbarkeit getrennt. Eine plausible Verteidigungslinie ersetzt keinen Beweiswertvergleich; eine plausible Anklagehypothese ersetzt keine Lückenanalyse.</w:t>
      </w:r>
    </w:p>
    <w:p>
      <w:pPr>
        <w:pStyle w:val="ListBullet"/>
      </w:pPr>
      <w:r>
        <w:t>Normanker: Paragraf 238 StGB, Paragraf 201a StGB, Paragraf 100g StPO, Paragraf 406h StPO, Paragraf 244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Chronologie gerichtsfest verdichten, Plattformdaten und SIM-Abfragen nachfassen, Schutzantrag finalisieren und Beweisübersicht nach Kontaktkanälen erstellen.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Hannover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Hannover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312 | Staatsanwaltschaft Hannover, 312 Js 5020/26 · 312 Js 5020/26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