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TKÜ-Beschluss des Amtsgerichts Leipzig vom 6. Oktober 2025 (Ausgangsverfahren BtM)</w:t>
      </w:r>
    </w:p>
    <w:p>
      <w:pPr>
        <w:jc w:val="left"/>
      </w:pPr>
      <w:r>
        <w:rPr>
          <w:b/>
        </w:rPr>
        <w:t>Amtsgericht Leipzig</w:t>
      </w:r>
    </w:p>
    <w:p>
      <w:pPr>
        <w:jc w:val="left"/>
      </w:pPr>
      <w:r>
        <w:t>— Ermittlungsrichter —</w:t>
      </w:r>
    </w:p>
    <w:p>
      <w:pPr>
        <w:jc w:val="left"/>
      </w:pPr>
      <w:r>
        <w:t>Bernhard-Göring-Straße 64, 04275 Leipzig</w:t>
      </w:r>
    </w:p>
    <w:p>
      <w:pPr>
        <w:jc w:val="left"/>
      </w:pPr>
      <w:r>
        <w:t>Telefon: 0341 494-0</w:t>
      </w:r>
    </w:p>
    <w:p>
      <w:pPr>
        <w:jc w:val="left"/>
      </w:pPr>
      <w:r>
        <w:rPr>
          <w:b/>
        </w:rPr>
        <w:t>Aktenzeichen:</w:t>
      </w:r>
      <w:r>
        <w:t xml:space="preserve"> 97 Gs 2214/25 (320 Js 8842/25 StA Leipzig)</w:t>
      </w:r>
    </w:p>
    <w:p>
      <w:pPr>
        <w:jc w:val="left"/>
      </w:pPr>
      <w:r>
        <w:t>Bl. 44–49 der TKÜ-Sonderakte (Kopie zur Akte 630 Js 11217/26)</w:t>
      </w:r>
    </w:p>
    <w:p>
      <w:pPr>
        <w:pStyle w:val="Heading2"/>
      </w:pPr>
      <w:r>
        <w:rPr>
          <w:rFonts w:ascii="Times New Roman" w:hAnsi="Times New Roman"/>
        </w:rPr>
        <w:t>Beschluss</w:t>
      </w:r>
    </w:p>
    <w:p>
      <w:pPr>
        <w:jc w:val="left"/>
      </w:pPr>
      <w:r>
        <w:t xml:space="preserve">In dem Ermittlungsverfahren gegen </w:t>
      </w:r>
      <w:r>
        <w:rPr>
          <w:b/>
        </w:rPr>
        <w:t>Milan Petrasch</w:t>
      </w:r>
      <w:r>
        <w:t>, geboren am 07.05.1991 in Leipzig, wohnhaft Eisenbahnstraße 141, 04315 Leipzig, wegen des Verdachts des unerlaubten Handeltreibens mit Betäubungsmitteln in nicht geringer Menge wird auf Antrag der Staatsanwaltschaft Leipzig beschlossen:</w:t>
      </w:r>
    </w:p>
    <w:p>
      <w:pPr>
        <w:jc w:val="left"/>
      </w:pPr>
      <w:r>
        <w:t xml:space="preserve">1 Die Überwachung und Aufzeichnung der Telekommunikation des Anschlusses </w:t>
      </w:r>
      <w:r>
        <w:rPr>
          <w:b/>
        </w:rPr>
        <w:t>0171 5528834</w:t>
      </w:r>
      <w:r>
        <w:t xml:space="preserve"> (Nutzer: der Beschuldigte Petrasch) einschließlich der Verkehrsdaten wird angeordnet (§ 100a Abs. 1 Satz 1, Abs. 3, § 100e Abs. 1 StPO).</w:t>
      </w:r>
    </w:p>
    <w:p>
      <w:pPr>
        <w:jc w:val="left"/>
      </w:pPr>
      <w:r>
        <w:t xml:space="preserve">2 Die Maßnahme wird befristet bis zum </w:t>
      </w:r>
      <w:r>
        <w:rPr>
          <w:b/>
        </w:rPr>
        <w:t>5. Januar 2026</w:t>
      </w:r>
      <w:r>
        <w:t xml:space="preserve"> (drei Monate).</w:t>
      </w:r>
    </w:p>
    <w:p>
      <w:pPr>
        <w:jc w:val="left"/>
      </w:pPr>
      <w:r>
        <w:t>3 Die Durchführung wird der Polizeidirektion Leipzig, Kriminalpolizeiinspektion, Dezernat 33 (Rauschgiftkriminalität), übertragen; die Erfassung erfolgt über die zuständige Aufzeichnungsstelle. Kernbereichsrelevante Erkenntnisse sind unverzüglich zu löschen (§ 100d Abs. 2 StPO).</w:t>
      </w:r>
    </w:p>
    <w:p>
      <w:pPr>
        <w:pStyle w:val="Heading2"/>
      </w:pPr>
      <w:r>
        <w:rPr>
          <w:rFonts w:ascii="Times New Roman" w:hAnsi="Times New Roman"/>
        </w:rPr>
        <w:t>Gründe</w:t>
      </w:r>
    </w:p>
    <w:p>
      <w:pPr>
        <w:pStyle w:val="Heading3"/>
      </w:pPr>
      <w:r>
        <w:rPr>
          <w:rFonts w:ascii="Times New Roman" w:hAnsi="Times New Roman"/>
        </w:rPr>
        <w:t>1 Tatverdacht</w:t>
      </w:r>
    </w:p>
    <w:p>
      <w:pPr>
        <w:jc w:val="left"/>
      </w:pPr>
      <w:r>
        <w:t>Der Beschuldigte ist aufgrund der Angaben zweier getrennt geführter Vertrauenspersonen, der Erkenntnisse aus einer Observation vom 12. und 19. September 2025 (dokumentierte Kurzkontakte mit einschlägig bekannten Abnehmern) sowie der Auswertung sichergestellter Verkäuferlisten eines bereits verurteilten Zwischenhändlers verdächtig, in Leipzig seit Frühjahr 2025 regelmäßig Kokain und Amphetamin in Mengen von jeweils mehreren hundert Gramm anzukaufen und gewinnbringend weiterzuveräußern (§ 29a Abs. 1 Nr. 2 BtMG). Das Handeltreiben mit Betäubungsmitteln in nicht geringer Menge ist eine Katalogtat des § 100a Abs. 2 StPO; die Tat wiegt auch im Einzelfall schwer (Menge, Dauer, organisatorische Einbindung).</w:t>
      </w:r>
    </w:p>
    <w:p>
      <w:pPr>
        <w:pStyle w:val="Heading3"/>
      </w:pPr>
      <w:r>
        <w:rPr>
          <w:rFonts w:ascii="Times New Roman" w:hAnsi="Times New Roman"/>
        </w:rPr>
        <w:t>2 Subsidiarität und Verhältnismäßigkeit</w:t>
      </w:r>
    </w:p>
    <w:p>
      <w:pPr>
        <w:jc w:val="left"/>
      </w:pPr>
      <w:r>
        <w:t>Die Erforschung des Sachverhalts auf andere Weise wäre wesentlich erschwert oder aussichtslos (§ 100a Abs. 1 Satz 1 Nr. 3 StPO). Der Beschuldigte wickelt die Geschäfte nach den bisherigen Erkenntnissen nahezu ausschließlich telefonisch ab, wechselt Treffpunkte kurzfristig und ist observationssensibel. Offene Maßnahmen würden den Ermittlungserfolg gefährden; weitere verdeckte personale Ermittlungen versprechen ohne Kenntnis der Kommunikation keinen Aufschluss über Lieferanten und Abnehmerstruktur. Die Maßnahme ist auf drei Monate befristet und damit angemessen.</w:t>
      </w:r>
    </w:p>
    <w:p>
      <w:pPr>
        <w:jc w:val="left"/>
      </w:pPr>
      <w:r>
        <w:t>Dr. Packbier</w:t>
      </w:r>
    </w:p>
    <w:p>
      <w:pPr>
        <w:jc w:val="left"/>
      </w:pPr>
      <w:r>
        <w:t>Richter am Amtsgericht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Aktenzeichen: 97 Gs 2214/25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