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Schriftsatz des Verteidigers vom 16. Juni 2026 (Verwertungsverbot)</w:t>
      </w:r>
    </w:p>
    <w:p>
      <w:pPr>
        <w:jc w:val="left"/>
      </w:pPr>
      <w:r>
        <w:rPr>
          <w:b/>
        </w:rPr>
        <w:t>Rechtsanwalt Dr. Volkmar Hentschke</w:t>
      </w:r>
    </w:p>
    <w:p>
      <w:pPr>
        <w:jc w:val="left"/>
      </w:pPr>
      <w:r>
        <w:t>Fachanwalt für Strafrecht</w:t>
      </w:r>
    </w:p>
    <w:p>
      <w:pPr>
        <w:jc w:val="left"/>
      </w:pPr>
      <w:r>
        <w:t>Käthe-Kollwitz-Straße 30, 04109 Leipzig</w:t>
      </w:r>
    </w:p>
    <w:p>
      <w:pPr>
        <w:jc w:val="left"/>
      </w:pPr>
      <w:r>
        <w:t>Telefon: 0341 21789-0 | Telefax: 0341 21789-9 | E-Mail: kanzlei@hentschke-strafrecht.de</w:t>
      </w:r>
    </w:p>
    <w:p>
      <w:pPr>
        <w:jc w:val="left"/>
      </w:pPr>
      <w:r>
        <w:rPr>
          <w:b/>
        </w:rPr>
        <w:t>Unser Zeichen:</w:t>
      </w:r>
      <w:r>
        <w:t xml:space="preserve"> 88/26 VH | </w:t>
      </w:r>
      <w:r>
        <w:rPr>
          <w:b/>
        </w:rPr>
        <w:t>Ihr Zeichen:</w:t>
      </w:r>
      <w:r>
        <w:t xml:space="preserve"> 630 Js 11217/26</w:t>
      </w:r>
    </w:p>
    <w:p>
      <w:pPr>
        <w:jc w:val="left"/>
      </w:pPr>
      <w:r>
        <w:t>Leipzig, den 16. Juni 2026</w:t>
      </w:r>
    </w:p>
    <w:p>
      <w:pPr>
        <w:jc w:val="left"/>
      </w:pPr>
      <w:r>
        <w:rPr>
          <w:b/>
        </w:rPr>
        <w:t>An das Amtsgericht Leipzig — Schöffengericht —, Bernhard-Göring-Straße 64, 04275 Leipzig</w:t>
      </w:r>
    </w:p>
    <w:p>
      <w:pPr>
        <w:jc w:val="left"/>
      </w:pPr>
      <w:r>
        <w:rPr>
          <w:i/>
        </w:rPr>
        <w:t>Zustellweg: elektronisch über das besondere elektronische Anwaltspostfach (§ 32a StPO)</w:t>
      </w:r>
    </w:p>
    <w:p>
      <w:pPr>
        <w:jc w:val="left"/>
      </w:pPr>
      <w:r>
        <w:rPr>
          <w:b/>
        </w:rPr>
        <w:t>Betreff: Strafsache gegen Jens Kabusch — Stellungnahme zur Anklageschrift vom 27. Mai 2026 (§ 201 StPO); Einwendungen gegen die Eröffnung</w:t>
      </w:r>
    </w:p>
    <w:p>
      <w:pPr>
        <w:jc w:val="left"/>
      </w:pPr>
      <w:r>
        <w:t>Namens und in Vollmacht des Angeschuldigten beantrage ich,</w:t>
      </w:r>
    </w:p>
    <w:p>
      <w:pPr>
        <w:jc w:val="left"/>
      </w:pPr>
      <w:r>
        <w:t>die Eröffnung des Hauptverfahrens abzulehnen (§ 204 StPO),</w:t>
      </w:r>
    </w:p>
    <w:p>
      <w:pPr>
        <w:jc w:val="left"/>
      </w:pPr>
      <w:r>
        <w:t>hilfsweise: im Eröffnungsbeschluss festzustellen, dass die Erkenntnisse aus der Telekommunikationsüberwachung des Verfahrens 320 Js 8842/25 und die hierauf aufbauenden Folgebeweise unverwertbar sind.</w:t>
      </w:r>
    </w:p>
    <w:p>
      <w:pPr>
        <w:pStyle w:val="Heading2"/>
      </w:pPr>
      <w:r>
        <w:rPr>
          <w:rFonts w:ascii="Times New Roman" w:hAnsi="Times New Roman"/>
        </w:rPr>
        <w:t>1 Die TKÜ-Erkenntnisse unterliegen einem Verwertungsverbot</w:t>
      </w:r>
    </w:p>
    <w:p>
      <w:pPr>
        <w:pStyle w:val="Heading3"/>
      </w:pPr>
      <w:r>
        <w:rPr>
          <w:rFonts w:ascii="Times New Roman" w:hAnsi="Times New Roman"/>
        </w:rPr>
        <w:t>1.1 Maßstab der Verwendungsschranke</w:t>
      </w:r>
    </w:p>
    <w:p>
      <w:pPr>
        <w:jc w:val="left"/>
      </w:pPr>
      <w:r>
        <w:t xml:space="preserve">Die Aufzeichnungen stammen aus einer Maßnahme nach § 100a StPO, die ausschließlich gegen Petrasch wegen einer Betäubungsmittel-Katalogtat angeordnet war. Für die Verwendung in einem anderen Verfahren genügt nicht, dass der neue Vorwurf abstrakt im Katalog des § 100a Abs. 2 StPO steht. Erforderlich ist nach § 479 Abs. 2 Satz 1 i. V. m. § 161 Abs. 3 StPO, dass die Maßnahme </w:t>
      </w:r>
      <w:r>
        <w:rPr>
          <w:b/>
        </w:rPr>
        <w:t>zur Aufklärung gerade dieser Tat hätte angeordnet werden dürfen</w:t>
      </w:r>
      <w:r>
        <w:t xml:space="preserve"> — mithin ein hypothetischer Ersatzeingriff, der sämtliche Anordnungsvoraussetzungen des § 100a Abs. 1 StPO einschließt: den auf bestimmte Tatsachen gestützten Verdacht, die </w:t>
      </w:r>
      <w:r>
        <w:rPr>
          <w:b/>
        </w:rPr>
        <w:t>Schwere der Tat auch im Einzelfall</w:t>
      </w:r>
      <w:r>
        <w:t xml:space="preserve"> (§ 100a Abs. 1 Satz 1 Nr. 2 StPO) und die Subsidiarität (Nr. 3).</w:t>
      </w:r>
    </w:p>
    <w:p>
      <w:pPr>
        <w:pStyle w:val="Heading3"/>
      </w:pPr>
      <w:r>
        <w:rPr>
          <w:rFonts w:ascii="Times New Roman" w:hAnsi="Times New Roman"/>
        </w:rPr>
        <w:t>1.2 Keine Schwere im Einzelfall</w:t>
      </w:r>
    </w:p>
    <w:p>
      <w:pPr>
        <w:jc w:val="left"/>
      </w:pPr>
      <w:r>
        <w:t>An der Einzelfallschwere fehlt es. Gegenstand des Vorwurfs sind sieben Zahlungen von je 500,00 EUR, zusammen 3.500,00 EUR, innerhalb von drei Monaten — am untersten Rand denkbarer Korruptionsvorwürfe, ohne Verbindung zu organisierter Kriminalität, ohne Schädigung Dritter im Einzelfall und begangen von einem bislang unbescholtenen Beamten. Der Hinweis der Staatsanwaltschaft auf die "Seriennatur" ersetzt die Einzelfallprüfung nicht, sondern umgeht sie: Sieben Bagatellen ergeben keine schwere Tat. Auch die Subsidiarität hätte einer Anordnung entgegengestanden, denn Terminkalender, Fachverfahrensdaten und Kontoumsätze — also genau die Beweismittel, auf die sich die Anklage im Übrigen stützt — waren mit klassischen Ermittlungsmaßnahmen zu erheben.</w:t>
      </w:r>
    </w:p>
    <w:p>
      <w:pPr>
        <w:pStyle w:val="Heading3"/>
      </w:pPr>
      <w:r>
        <w:rPr>
          <w:rFonts w:ascii="Times New Roman" w:hAnsi="Times New Roman"/>
        </w:rPr>
        <w:t>1.3 Zur Verwendungsregel des § 100e Abs. 6 StPO</w:t>
      </w:r>
    </w:p>
    <w:p>
      <w:pPr>
        <w:jc w:val="left"/>
      </w:pPr>
      <w:r>
        <w:t>Lediglich vorsorglich wird darauf hingewiesen, dass für Erkenntnisse aus Wohnraumüberwachung und Online-Durchsuchung die noch strengere Verwendungsschranke des § 100e Abs. 6 StPO gilt. Der Gesetzgeber hat damit gezeigt, dass Zufallsfunde aus eingriffsintensiven verdeckten Maßnahmen nur unter qualifizierten Voraussetzungen in andere Verfahren wandern dürfen. Diese Wertung ist bei der Auslegung der Einzelfallschwere im Rahmen des § 479 Abs. 2 StPO zu berücksichtigen.</w:t>
      </w:r>
    </w:p>
    <w:p>
      <w:pPr>
        <w:pStyle w:val="Heading3"/>
      </w:pPr>
      <w:r>
        <w:rPr>
          <w:rFonts w:ascii="Times New Roman" w:hAnsi="Times New Roman"/>
        </w:rPr>
        <w:t>1.4 Fernwirkung</w:t>
      </w:r>
    </w:p>
    <w:p>
      <w:pPr>
        <w:jc w:val="left"/>
      </w:pPr>
      <w:r>
        <w:t>Sind die TKÜ-Erkenntnisse unverwertbar, gilt dies auch für die unmittelbar auf ihnen aufbauenden Folgebeweise: Terminkalender-Beiziehung, Kontenerhebung und Durchsuchung wurden ausweislich der Akten ausschließlich mit den TKÜ-Erkenntnissen begründet (Beschluss vom 12. März 2026, Bl. 61 ff. d. A.). Ohne den unverwertbaren Ausgangsbefund gäbe es weder die Haftnotiz noch den Chat-Export als Beweismittel; ein hypothetisch rechtmäßiger Ermittlungsverlauf, der zu ihnen geführt hätte, ist nicht dargetan.</w:t>
      </w:r>
    </w:p>
    <w:p>
      <w:pPr>
        <w:pStyle w:val="Heading2"/>
      </w:pPr>
      <w:r>
        <w:rPr>
          <w:rFonts w:ascii="Times New Roman" w:hAnsi="Times New Roman"/>
        </w:rPr>
        <w:t>2 Hilfsweise: zur Beweiswürdigung</w:t>
      </w:r>
    </w:p>
    <w:p>
      <w:pPr>
        <w:jc w:val="left"/>
      </w:pPr>
      <w:r>
        <w:t xml:space="preserve">Unabhängig von der Verwertungsfrage trägt die Aktenlage den hinreichenden Tatverdacht einer </w:t>
      </w:r>
      <w:r>
        <w:rPr>
          <w:b/>
        </w:rPr>
        <w:t>Dienstpflichtverletzung</w:t>
      </w:r>
      <w:r>
        <w:t xml:space="preserve"> im Sinne des § 332 StGB nur für zwei der sieben Fälle (Kaplan, Ilic — fehlende Prüfungsnachweise). In den übrigen fünf Fällen waren die Bescheide nach Aktenlage materiell rechtmäßig; das bloße Vorziehen von Terminen ist keine Verletzung der Dienstpflichten, sodass insoweit allenfalls Vorteilsannahme (§ 331 StGB) im Raum stünde — mit erheblichen Folgen für Strafrahmen und die Katalogtat-Frage, denn § 331 StGB ist </w:t>
      </w:r>
      <w:r>
        <w:rPr>
          <w:b/>
        </w:rPr>
        <w:t>keine</w:t>
      </w:r>
      <w:r>
        <w:t xml:space="preserve"> Katalogtat des § 100a Abs. 2 StPO. Die Erklärung des Angeschuldigten zu den Flohmarkterlösen ist zudem nicht widerlegt, sondern durch die belegten Verkäufe vom 26. Oktober 2025 und 18. Januar 2026 teilweise bestätigt.</w:t>
      </w:r>
    </w:p>
    <w:p>
      <w:pPr>
        <w:jc w:val="left"/>
      </w:pPr>
      <w:r>
        <w:t>Mit vorzüglicher Hochachtung</w:t>
      </w:r>
    </w:p>
    <w:p>
      <w:pPr>
        <w:jc w:val="left"/>
      </w:pPr>
      <w:r>
        <w:t>Dr. Volkmar Hentschke</w:t>
      </w:r>
    </w:p>
    <w:p>
      <w:pPr>
        <w:jc w:val="left"/>
      </w:pPr>
      <w:r>
        <w:t>Rechtsanwalt, Fachanwalt für Strafrecht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Volkmar Hentschke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2"/>
      </w:rPr>
      <w:t>RECHTSANWALT DR. VOLKMAR HENTSCHKE</w:t>
    </w:r>
  </w:p>
  <w:p>
    <w:pPr>
      <w:jc w:val="left"/>
      <w:pBdr>
        <w:bottom w:val="single" w:sz="8" w:space="2" w:color="1F3864"/>
      </w:pBdr>
    </w:pPr>
    <w:r>
      <w:rPr>
        <w:rFonts w:ascii="Times New Roman" w:hAnsi="Times New Roman"/>
        <w:color w:val="6B6B66"/>
        <w:sz w:val="16"/>
      </w:rPr>
      <w:t>Rechtsanwaltskanzlei · 630 Js 11217/26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