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Stellungnahme der Staatsanwaltschaft Leipzig zur Verwertbarkeit (30. Juni 2026)</w:t>
      </w:r>
    </w:p>
    <w:p>
      <w:pPr>
        <w:jc w:val="left"/>
      </w:pPr>
      <w:r>
        <w:rPr>
          <w:b/>
        </w:rPr>
        <w:t>Staatsanwaltschaft Leipzig</w:t>
      </w:r>
    </w:p>
    <w:p>
      <w:pPr>
        <w:jc w:val="left"/>
      </w:pPr>
      <w:r>
        <w:t>Abteilung VI — Korruptions- und Amtsdelikte</w:t>
      </w:r>
    </w:p>
    <w:p>
      <w:pPr>
        <w:jc w:val="left"/>
      </w:pPr>
      <w:r>
        <w:t>Straße des 17. Juni 2, 04107 Leipzig</w:t>
      </w:r>
    </w:p>
    <w:p>
      <w:pPr>
        <w:jc w:val="left"/>
      </w:pPr>
      <w:r>
        <w:t>Telefon: 0341 494-0 | Telefax: 0341 494-2222</w:t>
      </w:r>
    </w:p>
    <w:p>
      <w:pPr>
        <w:jc w:val="left"/>
      </w:pPr>
      <w:r>
        <w:rPr>
          <w:b/>
        </w:rPr>
        <w:t>Aktenzeichen:</w:t>
      </w:r>
      <w:r>
        <w:t xml:space="preserve"> 630 Js 11217/26</w:t>
      </w:r>
    </w:p>
    <w:p>
      <w:pPr>
        <w:jc w:val="left"/>
      </w:pPr>
      <w:r>
        <w:t>Leipzig, den 30. Juni 2026</w:t>
      </w:r>
    </w:p>
    <w:p>
      <w:pPr>
        <w:jc w:val="left"/>
      </w:pPr>
      <w:r>
        <w:rPr>
          <w:b/>
        </w:rPr>
        <w:t>An das Amtsgericht Leipzig — Schöffengericht —</w:t>
      </w:r>
    </w:p>
    <w:p>
      <w:pPr>
        <w:jc w:val="left"/>
      </w:pPr>
      <w:r>
        <w:rPr>
          <w:i/>
        </w:rPr>
        <w:t>Zustellweg: elektronisch (§ 32b StPO)</w:t>
      </w:r>
    </w:p>
    <w:p>
      <w:pPr>
        <w:jc w:val="left"/>
      </w:pPr>
      <w:r>
        <w:rPr>
          <w:b/>
        </w:rPr>
        <w:t>Betreff: Strafsache gegen Jens Kabusch — Erwiderung auf den Schriftsatz der Verteidigung vom 16. Juni 2026</w:t>
      </w:r>
    </w:p>
    <w:p>
      <w:pPr>
        <w:pStyle w:val="Heading2"/>
      </w:pPr>
      <w:r>
        <w:rPr>
          <w:rFonts w:ascii="Times New Roman" w:hAnsi="Times New Roman"/>
        </w:rPr>
        <w:t>1 Die Verwendung der TKÜ-Erkenntnisse ist zulässig</w:t>
      </w:r>
    </w:p>
    <w:p>
      <w:pPr>
        <w:pStyle w:val="Heading3"/>
      </w:pPr>
      <w:r>
        <w:rPr>
          <w:rFonts w:ascii="Times New Roman" w:hAnsi="Times New Roman"/>
        </w:rPr>
        <w:t>1.1 Katalogtat und hypothetische Anordnung</w:t>
      </w:r>
    </w:p>
    <w:p>
      <w:pPr>
        <w:jc w:val="left"/>
      </w:pPr>
      <w:r>
        <w:t>Die Verteidigung stellt den Maßstab zutreffend dar, wendet ihn aber unzutreffend an. Die Bestechlichkeit nach § 332 StGB ist Katalogtat des § 100a Abs. 2 Nr. 1 StPO. Für den hypothetischen Ersatzeingriff ist auf den Erkenntnisstand abzustellen, der sich aus den Zufallsfunden selbst ergibt: Danach stand nicht eine einzelne Gefälligkeit im Raum, sondern ein über Monate praktiziertes, konspirativ abgewickeltes Absprachesystem ("nicht am Telefon") zwischen einem Amtsträger und einer Person aus dem Umfeld der organisierten Betäubungsmittelkriminalität, mit dem hoheitliche Erlaubnisentscheidungen — teils unter Verzicht auf zwingende Prüfungsnachweise — verkauft wurden.</w:t>
      </w:r>
    </w:p>
    <w:p>
      <w:pPr>
        <w:pStyle w:val="Heading3"/>
      </w:pPr>
      <w:r>
        <w:rPr>
          <w:rFonts w:ascii="Times New Roman" w:hAnsi="Times New Roman"/>
        </w:rPr>
        <w:t>1.2 Schwere im Einzelfall</w:t>
      </w:r>
    </w:p>
    <w:p>
      <w:pPr>
        <w:jc w:val="left"/>
      </w:pPr>
      <w:r>
        <w:t>Die Einzelfallschwere bemisst sich nicht allein am Zahlungsbetrag. Ins Gewicht fallen die planmäßige Wiederholung (sieben Fälle in drei Monaten mit angekündigter Fortsetzung "bis Ostern"), die Verletzung des Kernbereichs der Amtspflichten, die Gefährdung der Allgemeinheit durch Fahrerlaubnisse ohne Prüfungsnachweis und die strukturelle Verbindung zu einem Betäubungsmittelhändler, der die Behördenkontakte als Dienstleistung vermarktete. Eine Bagatelle liegt darin nicht. Auch die Subsidiarität wäre erfüllt gewesen: Terminkalender und Kontodaten erschließen das Muster erst, nachdem die Gespräche den Zusammenhang aufgedeckt hatten; ohne Kenntnis der Kommunikation bestand kein Ansatz, gerade diese Vorgänge und dieses Konto zu prüfen.</w:t>
      </w:r>
    </w:p>
    <w:p>
      <w:pPr>
        <w:pStyle w:val="Heading3"/>
      </w:pPr>
      <w:r>
        <w:rPr>
          <w:rFonts w:ascii="Times New Roman" w:hAnsi="Times New Roman"/>
        </w:rPr>
        <w:t>1.3 § 100e Abs. 6 StPO ist nicht anwendbar</w:t>
      </w:r>
    </w:p>
    <w:p>
      <w:pPr>
        <w:jc w:val="left"/>
      </w:pPr>
      <w:r>
        <w:t>Die von der Verteidigung bemühte Vorschrift betrifft ausschließlich Erkenntnisse aus Maßnahmen nach §§ 100b, 100c StPO (Online-Durchsuchung, akustische Wohnraumüberwachung). Für die Telekommunikationsüberwachung nach § 100a StPO gilt die Verwendungsregel des § 479 Abs. 2 Satz 1 i. V. m. § 161 Abs. 3 StPO; eine analoge Verschärfung über den Umweg der "Wertung" liefe auf eine Korrektur der gesetzgeberischen Differenzierung hinaus und ist abzulehnen.</w:t>
      </w:r>
    </w:p>
    <w:p>
      <w:pPr>
        <w:pStyle w:val="Heading3"/>
      </w:pPr>
      <w:r>
        <w:rPr>
          <w:rFonts w:ascii="Times New Roman" w:hAnsi="Times New Roman"/>
        </w:rPr>
        <w:t>1.4 Keine Fernwirkung, jedenfalls hypothetisch rechtmäßiger Ermittlungsverlauf</w:t>
      </w:r>
    </w:p>
    <w:p>
      <w:pPr>
        <w:jc w:val="left"/>
      </w:pPr>
      <w:r>
        <w:t>Selbst wer die Verwendungsvoraussetzungen verneinen wollte, käme nicht zu dem von der Verteidigung gewünschten Totalverlust der Beweismittel. Der deutschen Strafprozessordnung ist eine generelle Fernwirkung von Beweisverwertungsverboten fremd; sie bedarf einer Abwägung im Einzelfall. Terminkalender, Fachverfahrensdaten und Kontoumsätze sind behördliche beziehungsweise bankmäßige Aufzeichnungen, die unabhängig von der TKÜ existierten. Spätestens die dienstaufsichtliche Prüfung der Vorgänge Kaplan und Ilic — die Sachgebietsleiterin hatte Nachfragen zu fehlenden Nachweisen bereits im Dezember 2025 an die Amtsleitung gemeldet — hätte die Unregelmäßigkeiten und über die Vorgangsdaten auch die Terminhäufung mit von Petrasch vermittelten Antragstellern zutage gefördert.</w:t>
      </w:r>
    </w:p>
    <w:p>
      <w:pPr>
        <w:pStyle w:val="Heading2"/>
      </w:pPr>
      <w:r>
        <w:rPr>
          <w:rFonts w:ascii="Times New Roman" w:hAnsi="Times New Roman"/>
        </w:rPr>
        <w:t>2 Zur Dienstpflichtverletzung in den fünf weiteren Fällen</w:t>
      </w:r>
    </w:p>
    <w:p>
      <w:pPr>
        <w:jc w:val="left"/>
      </w:pPr>
      <w:r>
        <w:t>Auch das Vorziehen von Antragstellern gegen Entgelt verletzt Dienstpflichten: Der Angeschuldigte hat sich bei der Terminvergabe und Bearbeitung von sachfremden Erwägungen — der Zahlung — leiten lassen und dies durch die konspirative Abwicklung dokumentiert. Bereits die Bereitschaft, sich bei Ermessens- und Ordnungsentscheidungen durch den Vorteil beeinflussen zu lassen, genügt § 332 Abs. 1 in Verbindung mit Abs. 3 Nr. 2 StGB. Auf § 331 StGB ist danach nicht auszuweichen. Es wird beantragt, das Hauptverfahren unverändert zu eröffnen.</w:t>
      </w:r>
    </w:p>
    <w:p>
      <w:pPr>
        <w:jc w:val="left"/>
      </w:pPr>
      <w:r>
        <w:t>Dr. Zimmerkorn</w:t>
      </w:r>
    </w:p>
    <w:p>
      <w:pPr>
        <w:jc w:val="left"/>
      </w:pPr>
      <w:r>
        <w:t>Oberstaatsanwalt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Leipzig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Leipzig</w:t>
    </w:r>
  </w:p>
  <w:p>
    <w:pPr>
      <w:jc w:val="left"/>
      <w:pBdr>
        <w:bottom w:val="single" w:sz="6" w:space="2" w:color="3B3F45"/>
      </w:pBdr>
    </w:pPr>
    <w:r>
      <w:rPr>
        <w:rFonts w:ascii="Times New Roman" w:hAnsi="Times New Roman"/>
        <w:color w:val="6B6B66"/>
        <w:sz w:val="16"/>
      </w:rPr>
      <w:t>Gericht · Aktenzeichen: 630 Js 11217/26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