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315d StGB, Paragraf 142 StGB, Paragraf 69 StGB, Paragraf 111a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Beschwerde gegen Fahrerlaubnismaßnahme prüfen, EDR-Rohdaten anfordern, Dashcam-Verwertung angreifen und frühe Schadenswiedergutmachung organisieren.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Tiergarten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Tiergarten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304 | Staatsanwaltschaft Berlin, 304 Js 1288/26 · 304 Js 1288/26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