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Tiergarten, Strafrichter Abteilung 304 | Staatsanwaltschaft Berlin, 304 Js 1288/26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Beschwerde gegen Fahrerlaubnismaßnahme prüfen, EDR-Rohdaten anfordern, Dashcam-Verwertung angreifen und frühe Schadenswiedergutmachung organisieren.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Berlin, 304 Js 1288/26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Tiergarten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Tiergarten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304 | Staatsanwaltschaft Berlin, 304 Js 1288/26 · 304 Js 1288/26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