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Strafanzeige der AOK Baden-Württemberg vom 18. September 2025</w:t>
      </w:r>
    </w:p>
    <w:p>
      <w:pPr>
        <w:jc w:val="left"/>
      </w:pPr>
      <w:r>
        <w:rPr>
          <w:b/>
        </w:rPr>
        <w:t>AOK Baden-Württemberg — Die Gesundheitskasse</w:t>
      </w:r>
    </w:p>
    <w:p>
      <w:pPr>
        <w:jc w:val="left"/>
      </w:pPr>
      <w:r>
        <w:t>Bezirksdirektion Rhein-Neckar, Fachbereich Abrechnungsprüfung und Fehlverhaltensbekämpfung (§ 197a SGB V)</w:t>
      </w:r>
    </w:p>
    <w:p>
      <w:pPr>
        <w:jc w:val="left"/>
      </w:pPr>
      <w:r>
        <w:t>Renzstraße 11–13, 68161 Mannheim</w:t>
      </w:r>
    </w:p>
    <w:p>
      <w:pPr>
        <w:jc w:val="left"/>
      </w:pPr>
      <w:r>
        <w:t>Telefon: 0621 176-0 | E-Mail: fehlverhalten.rhein-neckar@bw.aok.de</w:t>
      </w:r>
    </w:p>
    <w:p>
      <w:pPr>
        <w:jc w:val="left"/>
      </w:pPr>
      <w:r>
        <w:rPr>
          <w:b/>
        </w:rPr>
        <w:t>Unser Zeichen:</w:t>
      </w:r>
      <w:r>
        <w:t xml:space="preserve"> FVB-2025-0417/So</w:t>
      </w:r>
    </w:p>
    <w:p>
      <w:pPr>
        <w:jc w:val="left"/>
      </w:pPr>
      <w:r>
        <w:t>Mannheim, den 18. September 2025</w:t>
      </w:r>
    </w:p>
    <w:p>
      <w:pPr>
        <w:jc w:val="left"/>
      </w:pPr>
      <w:r>
        <w:rPr>
          <w:b/>
        </w:rPr>
        <w:t>An die Staatsanwaltschaft Mannheim, A 1, 68159 Mannheim</w:t>
      </w:r>
    </w:p>
    <w:p>
      <w:pPr>
        <w:jc w:val="left"/>
      </w:pPr>
      <w:r>
        <w:rPr>
          <w:i/>
        </w:rPr>
        <w:t>Zustellweg: elektronisch über das besondere elektronische Behördenpostfach; Anlagenkonvolut per Datenträger</w:t>
      </w:r>
    </w:p>
    <w:p>
      <w:pPr>
        <w:jc w:val="left"/>
      </w:pPr>
      <w:r>
        <w:rPr>
          <w:b/>
        </w:rPr>
        <w:t>Betreff: Strafanzeige gegen Holger Trautwein, Inhaber des Pflegedienstes "Sonnenblick e. K.", Mannheim, wegen des Verdachts des Abrechnungsbetruges (§ 263 StGB)</w:t>
      </w:r>
    </w:p>
    <w:p>
      <w:pPr>
        <w:jc w:val="left"/>
      </w:pPr>
      <w:r>
        <w:t>Sehr geehrte Damen und Herren,</w:t>
      </w:r>
    </w:p>
    <w:p>
      <w:pPr>
        <w:jc w:val="left"/>
      </w:pPr>
      <w:r>
        <w:t>die AOK Baden-Württemberg erstattet Strafanzeige gegen Herrn Holger Trautwein, geboren am 02.11.1974, Inhaber des ambulanten Pflegedienstes "Sonnenblick e. K.", Rheingoldstraße 48, 68199 Mannheim, wegen des Verdachts des Betruges zum Nachteil der gesetzlichen Kranken- und Pflegekassen und regt die Prüfung der Vermögensabschöpfung an.</w:t>
      </w:r>
    </w:p>
    <w:p>
      <w:pPr>
        <w:pStyle w:val="Heading2"/>
      </w:pPr>
      <w:r>
        <w:rPr>
          <w:rFonts w:ascii="Times New Roman" w:hAnsi="Times New Roman"/>
        </w:rPr>
        <w:t>1 Sachverhalt</w:t>
      </w:r>
    </w:p>
    <w:p>
      <w:pPr>
        <w:jc w:val="left"/>
      </w:pPr>
      <w:r>
        <w:t>Der Pflegedienst rechnet gegenüber der AOK Baden-Württemberg, der DAK-Gesundheit und der BARMER ambulante Pflegeleistungen nach Leistungskomplexen ab (Vergütung je Einsatz pauschal 120,00 EUR nach der maßgeblichen Vergütungsvereinbarung). Unsere Abrechnungsprüfung wurde durch die Meldung einer früheren Pflegekraft ausgelöst. Der Plausibilitätsabgleich der eingereichten Monatsabrechnungen Januar 2023 bis Dezember 2024 mit den auf Anforderung vorgelegten Touren- und Dienstplänen ergab eine erhebliche, über den gesamten Zeitraum anwachsende Schere zwischen abgerechneten und personell überhaupt leistbaren Einsätzen. Nach unserer vorläufigen Auswertung wurden monatlich zwischen 80 und 220 Einsätze abgerechnet, denen kein dokumentierter Einsatz gegenübersteht.</w:t>
      </w:r>
    </w:p>
    <w:p>
      <w:pPr>
        <w:pStyle w:val="Heading2"/>
      </w:pPr>
      <w:r>
        <w:rPr>
          <w:rFonts w:ascii="Times New Roman" w:hAnsi="Times New Roman"/>
        </w:rPr>
        <w:t>2 Vorläufige Bezifferung</w:t>
      </w:r>
    </w:p>
    <w:p>
      <w:pPr>
        <w:jc w:val="left"/>
      </w:pPr>
      <w:r>
        <w:t>Für den Zeitraum Januar 2023 bis Dezember 2024 ergibt der Abgleich 16.923 abgerechnete Einsätze (Vergütungsvolumen 2.030.760,00 EUR) gegenüber 13.484 nach den Tourenplänen gefahrenen Einsätzen. Die Differenz von 3.439 Einsätzen entspricht einem Vergütungsvolumen von 412.680,00 EUR. Die monatliche Aufgliederung nach Kassen ist als Anlage 1 (Datenexport), die Gegenüberstellung der Tourenpläne als Anlage 2 beigefügt. Exemplarisch fällt auf, dass auch an Tagen mit dokumentiertem Fahrzeugstillstand Einsätze in erheblicher Zahl abgerechnet wurden.</w:t>
      </w:r>
    </w:p>
    <w:p>
      <w:pPr>
        <w:pStyle w:val="Heading2"/>
      </w:pPr>
      <w:r>
        <w:rPr>
          <w:rFonts w:ascii="Times New Roman" w:hAnsi="Times New Roman"/>
        </w:rPr>
        <w:t>3 Anregungen</w:t>
      </w:r>
    </w:p>
    <w:p>
      <w:pPr>
        <w:jc w:val="left"/>
      </w:pPr>
      <w:r>
        <w:t>Wir regen an, die Geschäftsräume und die Buchhaltung des Pflegedienstes zu durchsuchen, die Telematik-/GPS-Daten der drei Dienstfahrzeuge beim Flottendienstleister zu erheben und zur Sicherung der Rückgewinnung einen Vermögensarrest zu prüfen. Die AOK Baden-Württemberg macht bereits jetzt Ersatzansprüche geltend und bittet um Mitteilung nach § 406d StPO. Als Ansprechpartnerin steht Frau Heike Sommerfeld (Telefon: 0621 176-2244) zur Verfügung.</w:t>
      </w:r>
    </w:p>
    <w:p>
      <w:pPr>
        <w:jc w:val="left"/>
      </w:pPr>
      <w:r>
        <w:t>Mit freundlichen Grüßen</w:t>
      </w:r>
    </w:p>
    <w:p>
      <w:pPr>
        <w:jc w:val="left"/>
      </w:pPr>
      <w:r>
        <w:t>Heike Sommerfeld</w:t>
      </w:r>
    </w:p>
    <w:p>
      <w:pPr>
        <w:jc w:val="left"/>
      </w:pPr>
      <w:r>
        <w:t>Fachbereichsleiterin Abrechnungsprüfung und Fehlverhaltensbekämpfung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Mannheim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Mannheim</w:t>
    </w:r>
  </w:p>
  <w:p>
    <w:pPr>
      <w:jc w:val="left"/>
      <w:pBdr>
        <w:bottom w:val="single" w:sz="6" w:space="2" w:color="3B3F45"/>
      </w:pBdr>
    </w:pPr>
    <w:r>
      <w:rPr>
        <w:rFonts w:ascii="Times New Roman" w:hAnsi="Times New Roman"/>
        <w:color w:val="6B6B66"/>
        <w:sz w:val="16"/>
      </w:rPr>
      <w:t>A 1, 68159 Mannheim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