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der Staatsanwaltschaft Mannheim vom 19. Juni 2026 (korrigierte Einziehungsberechnung)</w:t>
      </w:r>
    </w:p>
    <w:p>
      <w:pPr>
        <w:jc w:val="left"/>
      </w:pPr>
      <w:r>
        <w:rPr>
          <w:b/>
        </w:rPr>
        <w:t>Staatsanwaltschaft Mannheim</w:t>
      </w:r>
    </w:p>
    <w:p>
      <w:pPr>
        <w:jc w:val="left"/>
      </w:pPr>
      <w:r>
        <w:t>Abteilung 6 — Wirtschaftsstrafsachen</w:t>
      </w:r>
    </w:p>
    <w:p>
      <w:pPr>
        <w:jc w:val="left"/>
      </w:pPr>
      <w:r>
        <w:t>A 1, 68159 Mannheim</w:t>
      </w:r>
    </w:p>
    <w:p>
      <w:pPr>
        <w:jc w:val="left"/>
      </w:pPr>
      <w:r>
        <w:t>Telefon: 0621 292-0 | Telefax: 0621 292-2685</w:t>
      </w:r>
    </w:p>
    <w:p>
      <w:pPr>
        <w:jc w:val="left"/>
      </w:pPr>
      <w:r>
        <w:rPr>
          <w:b/>
        </w:rPr>
        <w:t>Aktenzeichen:</w:t>
      </w:r>
      <w:r>
        <w:t xml:space="preserve"> 616 Js 20481/25</w:t>
      </w:r>
    </w:p>
    <w:p>
      <w:pPr>
        <w:jc w:val="left"/>
      </w:pPr>
      <w:r>
        <w:t>Mannheim, den 19. Juni 2026</w:t>
      </w:r>
    </w:p>
    <w:p>
      <w:pPr>
        <w:jc w:val="left"/>
      </w:pPr>
      <w:r>
        <w:rPr>
          <w:b/>
        </w:rPr>
        <w:t>An das Landgericht Mannheim — Wirtschaftsstrafkammer —, A 1, 68159 Mannheim</w:t>
      </w:r>
    </w:p>
    <w:p>
      <w:pPr>
        <w:jc w:val="left"/>
      </w:pPr>
      <w:r>
        <w:rPr>
          <w:i/>
        </w:rPr>
        <w:t>Zustellweg: elektronisch (§ 32b StPO)</w:t>
      </w:r>
    </w:p>
    <w:p>
      <w:pPr>
        <w:jc w:val="left"/>
      </w:pPr>
      <w:r>
        <w:rPr>
          <w:b/>
        </w:rPr>
        <w:t>Betreff: Strafsache gegen Holger Trautwein — Replik auf die Stellungnahme der Verteidigung vom 28. Mai 2026; überprüfte Einziehungsberechnung</w:t>
      </w:r>
    </w:p>
    <w:p>
      <w:pPr>
        <w:pStyle w:val="Heading2"/>
      </w:pPr>
      <w:r>
        <w:rPr>
          <w:rFonts w:ascii="Times New Roman" w:hAnsi="Times New Roman"/>
        </w:rPr>
        <w:t>1 Zur Mengenberechnung</w:t>
      </w:r>
    </w:p>
    <w:p>
      <w:pPr>
        <w:jc w:val="left"/>
      </w:pPr>
      <w:r>
        <w:t>Der Einwand, der Tourenplan bilde das Leistungsgeschehen unvollständig ab, verfängt nicht. Die Berechnung der Anklage beruht nicht allein auf den Tourenplänen, sondern auf deren Abgleich mit Dienstplänen, Krankmeldungen und Personalkapazität: In den Monaten mit den größten Differenzen war nach den Dienstplänen so wenig Personal im Dienst, dass die abgerechneten Einsatzzahlen auch bei optimaler Auslastung nicht erbringbar waren. Der behauptete Wasserschaden ist aktenmäßig nicht belegt; die angeblich vernichteten Ordner betreffen nach der Asservatenliste gerade Monate, deren Original-Leistungsnachweise vollständig sichergestellt wurden. Die "Nachkassation" der Verteidigung (2.095 Einsätze) legt ihre Methodik nicht offen und zählt offenbar auch solche Leistungsnachweise als Erfüllungsbeleg, deren Unterschriften nach der Aussage der Zeugin Kalinowska nachgemacht sind.</w:t>
      </w:r>
    </w:p>
    <w:p>
      <w:pPr>
        <w:pStyle w:val="Heading2"/>
      </w:pPr>
      <w:r>
        <w:rPr>
          <w:rFonts w:ascii="Times New Roman" w:hAnsi="Times New Roman"/>
        </w:rPr>
        <w:t>2 Überprüfte Berechnung des Erlangten</w:t>
      </w:r>
    </w:p>
    <w:p>
      <w:pPr>
        <w:jc w:val="left"/>
      </w:pPr>
      <w:r>
        <w:t>Die Staatsanwaltschaft hat die Berechnung anlassbezogen vollständig nachvollzogen. Es ergibt sich je Tatjahr:</w:t>
      </w:r>
    </w:p>
    <w:p>
      <w:pPr>
        <w:jc w:val="left"/>
      </w:pPr>
      <w:r>
        <w:t xml:space="preserve">2.1 Tatjahr 2023: nicht erbrachte, aber abgerechnete Einsätze in den zwölf Monatsabrechnungen: 80, 85, 90, 95, 100, 105, 110, 115, 120, 125, 130 und 135 Einsätze; Zwischensumme 2023 mithin </w:t>
      </w:r>
      <w:r>
        <w:rPr>
          <w:b/>
        </w:rPr>
        <w:t>158.400,00 EUR</w:t>
      </w:r>
      <w:r>
        <w:t>.</w:t>
      </w:r>
    </w:p>
    <w:p>
      <w:pPr>
        <w:jc w:val="left"/>
      </w:pPr>
      <w:r>
        <w:t xml:space="preserve">2.2 Tatjahr 2024: nicht erbrachte, aber abgerechnete Einsätze: 140, 148, 156, 164, 172, 180, 188, 196, 204, 212, 220 und 169 Einsätze, mithin 2.149 Einsätze; Zwischensumme 2024 </w:t>
      </w:r>
      <w:r>
        <w:rPr>
          <w:b/>
        </w:rPr>
        <w:t>257.880,00 EUR</w:t>
      </w:r>
      <w:r>
        <w:t>.</w:t>
      </w:r>
    </w:p>
    <w:p>
      <w:pPr>
        <w:jc w:val="left"/>
      </w:pPr>
      <w:r>
        <w:t xml:space="preserve">2.3 Gesamtbetrag des Erlangten danach: </w:t>
      </w:r>
      <w:r>
        <w:rPr>
          <w:b/>
        </w:rPr>
        <w:t>416.280,00 EUR</w:t>
      </w:r>
      <w:r>
        <w:t>. Der in der Anklage genannte Betrag von 412.680,00 EUR ist um 3.600,00 EUR zu niedrig; es wird angeregt, den Einziehungsantrag in der eröffneten Höhe entsprechend anzupassen (§ 73c Satz 1 StGB). Am Vergütungssatz von 120,00 EUR je Einsatz ändert sich nichts.</w:t>
      </w:r>
    </w:p>
    <w:p>
      <w:pPr>
        <w:pStyle w:val="Heading2"/>
      </w:pPr>
      <w:r>
        <w:rPr>
          <w:rFonts w:ascii="Times New Roman" w:hAnsi="Times New Roman"/>
        </w:rPr>
        <w:t>3 Kein Abzug der Lohnkosten (§ 73d Abs. 1 Satz 2 StGB)</w:t>
      </w:r>
    </w:p>
    <w:p>
      <w:pPr>
        <w:jc w:val="left"/>
      </w:pPr>
      <w:r>
        <w:t xml:space="preserve">Der geforderte Abzug von 148.560,00 EUR Lohnkosten scheidet aus. Abzugsfähig sind nach § 73d Abs. 1 Satz 1 StGB nur Aufwendungen, die im Zusammenhang mit dem Erlangten stehen; für das hier abzuschöpfende Erlangte — die Vergütung für </w:t>
      </w:r>
      <w:r>
        <w:rPr>
          <w:b/>
        </w:rPr>
        <w:t>nicht erbrachte</w:t>
      </w:r>
      <w:r>
        <w:t xml:space="preserve"> Einsätze — sind Lohnkosten begrifflich nicht angefallen, denn für Luftleistungen wurde niemand eingesetzt. Soweit die Verteidigung Lohnkosten des Gesamtbetriebs anteilig umlegen will, betreffen diese die real erbrachten und real vergüteten Einsätze; sie mindern das aus den Taten Erlangte nicht. Im Übrigen wären Aufwendungen, die — wie das Nachzeichnen von Leistungsnachweisen durch bezahltes Personal — gerade für die Begehung der Taten eingesetzt wurden, nach § 73d Abs. 1 Satz 2 StGB ohnehin nicht abzugsfähig. Das Bruttoprinzip führt entgegen der Verteidigung nicht zu einer Doppelbestrafung, sondern verhindert, dass sich die Investition in die Tat lohnt.</w:t>
      </w:r>
    </w:p>
    <w:p>
      <w:pPr>
        <w:pStyle w:val="Heading2"/>
      </w:pPr>
      <w:r>
        <w:rPr>
          <w:rFonts w:ascii="Times New Roman" w:hAnsi="Times New Roman"/>
        </w:rPr>
        <w:t>4 Zur Drittempfängerin und zum Arrest</w:t>
      </w:r>
    </w:p>
    <w:p>
      <w:pPr>
        <w:jc w:val="left"/>
      </w:pPr>
      <w:r>
        <w:t>Auf den Vermerk vom 5. März 2026 wird verwiesen. Die pauschale Behauptung häuslicher Verwaltungstätigkeit ist durch die Beweisaufnahme zu klären; einer Eröffnung steht sie nicht entgegen. Der Arrest ist nach Grund und Höhe aufrechtzuerhalten; das Sicherungsbedürfnis (Vermögensverschiebungen nach der Durchsuchung, Maklerauftrag) besteht fort.</w:t>
      </w:r>
    </w:p>
    <w:p>
      <w:pPr>
        <w:jc w:val="left"/>
      </w:pPr>
      <w:r>
        <w:t>Dr. Vogelsang</w:t>
      </w:r>
    </w:p>
    <w:p>
      <w:pPr>
        <w:jc w:val="left"/>
      </w:pPr>
      <w:r>
        <w:t>Oberstaatsanwalt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Mannheim</w:t>
    </w:r>
  </w:p>
  <w:p>
    <w:pPr>
      <w:jc w:val="left"/>
      <w:pBdr>
        <w:bottom w:val="single" w:sz="6" w:space="2" w:color="3B3F45"/>
      </w:pBdr>
    </w:pPr>
    <w:r>
      <w:rPr>
        <w:rFonts w:ascii="Times New Roman" w:hAnsi="Times New Roman"/>
        <w:color w:val="6B6B66"/>
        <w:sz w:val="16"/>
      </w:rPr>
      <w:t>Gericht · Aktenzeichen: 616 Js 20481/25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