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Anklageschrift der Staatsanwaltschaft Wuppertal vom 2. Februar 2026</w:t>
      </w:r>
    </w:p>
    <w:p>
      <w:pPr>
        <w:jc w:val="left"/>
      </w:pPr>
      <w:r>
        <w:rPr>
          <w:b/>
        </w:rPr>
        <w:t>Staatsanwaltschaft Wuppertal</w:t>
      </w:r>
    </w:p>
    <w:p>
      <w:pPr>
        <w:jc w:val="left"/>
      </w:pPr>
      <w:r>
        <w:t>Eiland 2, 42103 Wuppertal</w:t>
      </w:r>
    </w:p>
    <w:p>
      <w:pPr>
        <w:jc w:val="left"/>
      </w:pPr>
      <w:r>
        <w:t>Telefon: 0202 5748-0 | Telefax: 0202 5748-390</w:t>
      </w:r>
    </w:p>
    <w:p>
      <w:pPr>
        <w:jc w:val="left"/>
      </w:pPr>
      <w:r>
        <w:t>E-Mail: poststelle@sta-wuppertal.nrw.de</w:t>
      </w:r>
    </w:p>
    <w:p>
      <w:pPr>
        <w:jc w:val="left"/>
      </w:pPr>
      <w:r>
        <w:rPr>
          <w:b/>
        </w:rPr>
        <w:t>Aktenzeichen:</w:t>
      </w:r>
      <w:r>
        <w:t xml:space="preserve"> 26 Js 1447/25</w:t>
      </w:r>
    </w:p>
    <w:p>
      <w:pPr>
        <w:jc w:val="left"/>
      </w:pPr>
      <w:r>
        <w:t>Wuppertal, den 2. Februar 2026</w:t>
      </w:r>
    </w:p>
    <w:p>
      <w:pPr>
        <w:jc w:val="left"/>
      </w:pPr>
      <w:r>
        <w:rPr>
          <w:b/>
        </w:rPr>
        <w:t>An das Landgericht Wuppertal — Wirtschaftsstrafkammer —, Eiland 1, 42103 Wuppertal</w:t>
      </w:r>
    </w:p>
    <w:p>
      <w:pPr>
        <w:jc w:val="left"/>
      </w:pPr>
      <w:r>
        <w:rPr>
          <w:i/>
        </w:rPr>
        <w:t>Zustellweg: auf elektronischem Weg (§ 32b StPO); Übergabe der Akten (Bände I–III, 2 Sonderbände Asservate)</w:t>
      </w:r>
    </w:p>
    <w:p>
      <w:pPr>
        <w:pStyle w:val="Heading2"/>
      </w:pPr>
      <w:r>
        <w:rPr>
          <w:rFonts w:ascii="Times New Roman" w:hAnsi="Times New Roman"/>
        </w:rPr>
        <w:t>Anklageschrift</w:t>
      </w:r>
    </w:p>
    <w:p>
      <w:pPr>
        <w:jc w:val="left"/>
      </w:pPr>
      <w:r>
        <w:t>In der Strafsache gegen</w:t>
      </w:r>
    </w:p>
    <w:p>
      <w:pPr>
        <w:jc w:val="left"/>
      </w:pPr>
      <w:r>
        <w:rPr>
          <w:b/>
        </w:rPr>
        <w:t>Marek Sowinski</w:t>
      </w:r>
      <w:r>
        <w:t>, geboren am 14.03.1988 in Ratibor (Polen), wohnhaft Wichlinghauser Straße 112, 42277 Wuppertal, deutscher Staatsangehöriger, verheiratet, Kfz-Teile-Händler, nicht vorbestraft in den letzten fünf Jahren (eine Vorverurteilung: Amtsgericht Wuppertal, Geldstrafe wegen Hehlerei, 2018, getilgt-nah),</w:t>
      </w:r>
    </w:p>
    <w:p>
      <w:pPr>
        <w:jc w:val="left"/>
      </w:pPr>
      <w:r>
        <w:t>Verteidiger: Rechtsanwalt Dr. Carsten Fehling, Wuppertal,</w:t>
      </w:r>
    </w:p>
    <w:p>
      <w:pPr>
        <w:jc w:val="left"/>
      </w:pPr>
      <w:r>
        <w:t>wird angeklagt,</w:t>
      </w:r>
    </w:p>
    <w:p>
      <w:pPr>
        <w:jc w:val="left"/>
      </w:pPr>
      <w:r>
        <w:t>in Wuppertal und andernorts in der Zeit vom 14. Juni 2024 bis zum 16. Juni 2025 durch zwölf selbständige Handlungen als Mitglied einer Bande, die sich zur fortgesetzten Begehung von Diebstahl und Hehlerei verbunden hat, gewerbsmäßig Sachen, die ein anderer gestohlen hat, angekauft und sich verschafft zu haben, um sich zu bereichern,</w:t>
      </w:r>
    </w:p>
    <w:p>
      <w:pPr>
        <w:jc w:val="left"/>
      </w:pPr>
      <w:r>
        <w:rPr>
          <w:b/>
        </w:rPr>
        <w:t>strafbar als gewerbsmäßige Bandenhehlerei in zwölf Fällen gemäß § 260a Abs. 1, § 259 Abs. 1, § 53 StGB.</w:t>
      </w:r>
    </w:p>
    <w:p>
      <w:pPr>
        <w:pStyle w:val="Heading2"/>
      </w:pPr>
      <w:r>
        <w:rPr>
          <w:rFonts w:ascii="Times New Roman" w:hAnsi="Times New Roman"/>
        </w:rPr>
        <w:t>1 Wesentliches Ergebnis der Ermittlungen</w:t>
      </w:r>
    </w:p>
    <w:p>
      <w:pPr>
        <w:pStyle w:val="Heading3"/>
      </w:pPr>
      <w:r>
        <w:rPr>
          <w:rFonts w:ascii="Times New Roman" w:hAnsi="Times New Roman"/>
        </w:rPr>
        <w:t>1.1 Die Bande und die Rollenverteilung</w:t>
      </w:r>
    </w:p>
    <w:p>
      <w:pPr>
        <w:jc w:val="left"/>
      </w:pPr>
      <w:r>
        <w:t>Der Angeschuldigte schloss sich spätestens im Mai 2024 mit den gesondert verfolgten Darius Lemke und Boris Kranz zusammen, um dauerhaft und arbeitsteilig hochwertige Fahrzeugteile aus gestohlenen Kraftfahrzeugen zu verwerten. Lemke und Kranz entwendeten im Bergischen Land und im Rheinland hochwertige Fahrzeuge, verbrachten sie in eine angemietete Lagerhalle an der Nützenberger Straße in Wuppertal und zerlegten sie dort binnen weniger Stunden. Der Angeschuldigte kaufte die ausgebauten Teile — insbesondere Katalysatoren, Steuergeräte, Airbagmodule, LED-Scheinwerfer und Navigationseinheiten — jeweils komplett gegen Barzahlung an und veräußerte sie über sein Verkäuferkonto auf der Online-Plattform "TeileMarkt24" an gutgläubige Abnehmer im gesamten Bundesgebiet.</w:t>
      </w:r>
    </w:p>
    <w:p>
      <w:pPr>
        <w:pStyle w:val="Heading3"/>
      </w:pPr>
      <w:r>
        <w:rPr>
          <w:rFonts w:ascii="Times New Roman" w:hAnsi="Times New Roman"/>
        </w:rPr>
        <w:t>1.2 Die zwölf Erwerbsvorgänge</w:t>
      </w:r>
    </w:p>
    <w:p>
      <w:pPr>
        <w:jc w:val="left"/>
      </w:pPr>
      <w:r>
        <w:t>Die einzelnen Taten ergeben sich aus der Beuteliste (Anlage 4, Bl. 670–671 d. A.), auf die wegen der Einzelheiten Bezug genommen wird. Der Angeschuldigte erwarb in zwölf Fällen insgesamt 209 Fahrzeugteile aus zwölf gestohlenen Fahrzeugen zu einem Gesamtankaufspreis von 61.200,00 EUR und erzielte hieraus Verkaufserlöse in Höhe von insgesamt 182.650,00 EUR. Nach Abzug der Plattformgebühr von acht Prozent (14.612,00 EUR) wurden ihm 168.038,00 EUR auf sein Konto bei der Stadtsparkasse Wuppertal ausgezahlt (Anlage 5, Bl. 672–673 d. A.).</w:t>
      </w:r>
    </w:p>
    <w:p>
      <w:pPr>
        <w:pStyle w:val="Heading3"/>
      </w:pPr>
      <w:r>
        <w:rPr>
          <w:rFonts w:ascii="Times New Roman" w:hAnsi="Times New Roman"/>
        </w:rPr>
        <w:t>1.3 Gewerbsmäßigkeit und Bandenabrede</w:t>
      </w:r>
    </w:p>
    <w:p>
      <w:pPr>
        <w:jc w:val="left"/>
      </w:pPr>
      <w:r>
        <w:t>Der Angeschuldigte bestritt seinen Lebensunterhalt in dem Tatzeitraum ganz überwiegend aus den Erlösen. Die Bandenabrede ergibt sich aus der auf Dauer angelegten, gleichförmigen Abwicklung: Lemke kündigte die Zerlegung jeweils telefonisch an, der Angeschuldigte erschien mit Bargeld in der Halle, die Preise folgten einer festen Quote von etwa einem Drittel des erwarteten Verkaufserlöses.</w:t>
      </w:r>
    </w:p>
    <w:p>
      <w:pPr>
        <w:pStyle w:val="Heading3"/>
      </w:pPr>
      <w:r>
        <w:rPr>
          <w:rFonts w:ascii="Times New Roman" w:hAnsi="Times New Roman"/>
        </w:rPr>
        <w:t>1.4 Beweismittel</w:t>
      </w:r>
    </w:p>
    <w:p>
      <w:pPr>
        <w:jc w:val="left"/>
      </w:pPr>
      <w:r>
        <w:t>Zeugen: KHK Petersen (PP Wuppertal, EK "Achse"), die gesondert verfolgten Lemke und Kranz, der Hallenvermieter Zeuge Brockhaus. Urkunden und Augenschein: Beuteliste (Anlage 4), Auszahlungsübersicht TeileMarkt24 (Anlage 5), Observationsberichte vom 20.05.2025 und 16.06.2025, Lichtbilder der Durchsuchung der Lagerhalle vom 17.06.2025, Kontoverdichtung Stadtsparkasse Wuppertal.</w:t>
      </w:r>
    </w:p>
    <w:p>
      <w:pPr>
        <w:pStyle w:val="Heading2"/>
      </w:pPr>
      <w:r>
        <w:rPr>
          <w:rFonts w:ascii="Times New Roman" w:hAnsi="Times New Roman"/>
        </w:rPr>
        <w:t>2 Anträge</w:t>
      </w:r>
    </w:p>
    <w:p>
      <w:pPr>
        <w:jc w:val="left"/>
      </w:pPr>
      <w:r>
        <w:t>Es wird beantragt,</w:t>
      </w:r>
    </w:p>
    <w:p>
      <w:pPr>
        <w:jc w:val="left"/>
      </w:pPr>
      <w:r>
        <w:t>das Hauptverfahren vor der Wirtschaftsstrafkammer des Landgerichts Wuppertal zu eröffnen (§ 74c Abs. 1 Satz 1 Nr. 6 GVG),</w:t>
      </w:r>
    </w:p>
    <w:p>
      <w:pPr>
        <w:jc w:val="left"/>
      </w:pPr>
      <w:r>
        <w:t xml:space="preserve">die Einziehung des Wertes von Taterträgen in Höhe von </w:t>
      </w:r>
      <w:r>
        <w:rPr>
          <w:b/>
        </w:rPr>
        <w:t>182.650,00 EUR</w:t>
      </w:r>
      <w:r>
        <w:t xml:space="preserve"> gegen den Angeschuldigten anzuordnen (§§ 73 Abs. 1, 73c Satz 1 StGB),</w:t>
      </w:r>
    </w:p>
    <w:p>
      <w:pPr>
        <w:jc w:val="left"/>
      </w:pPr>
      <w:r>
        <w:t>die Anklage nebst Eröffnungsbeschluss dem Angeschuldigten zuzustellen.</w:t>
      </w:r>
    </w:p>
    <w:p>
      <w:pPr>
        <w:jc w:val="left"/>
      </w:pPr>
      <w:r>
        <w:t>Dr. Roggenkamp</w:t>
      </w:r>
    </w:p>
    <w:p>
      <w:pPr>
        <w:jc w:val="left"/>
      </w:pPr>
      <w:r>
        <w:t>Oberstaatsanwältin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Wuppertal</w:t>
    </w:r>
  </w:p>
  <w:p>
    <w:pPr>
      <w:jc w:val="left"/>
      <w:pBdr>
        <w:bottom w:val="single" w:sz="6" w:space="2" w:color="3B3F45"/>
      </w:pBdr>
    </w:pPr>
    <w:r>
      <w:rPr>
        <w:rFonts w:ascii="Times New Roman" w:hAnsi="Times New Roman"/>
        <w:color w:val="6B6B66"/>
        <w:sz w:val="16"/>
      </w:rPr>
      <w:t>Gericht · Aktenzeichen: 26 Js 1447/25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