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Auswertebericht des Polizeipräsidiums Wuppertal — Mobiltelefon Kranz (3. Juni 2026)</w:t>
      </w:r>
    </w:p>
    <w:p>
      <w:pPr>
        <w:jc w:val="left"/>
      </w:pPr>
      <w:r>
        <w:rPr>
          <w:b/>
        </w:rPr>
        <w:t>Polizeipräsidium Wuppertal</w:t>
      </w:r>
    </w:p>
    <w:p>
      <w:pPr>
        <w:jc w:val="left"/>
      </w:pPr>
      <w:r>
        <w:t>Direktion Kriminalität, KK 21 — Ermittlungskommission "Achse"</w:t>
      </w:r>
    </w:p>
    <w:p>
      <w:pPr>
        <w:jc w:val="left"/>
      </w:pPr>
      <w:r>
        <w:t>Friedrich-Engels-Allee 228, 42285 Wuppertal</w:t>
      </w:r>
    </w:p>
    <w:p>
      <w:pPr>
        <w:jc w:val="left"/>
      </w:pPr>
      <w:r>
        <w:t>Telefon: 0202 284-0 | Telefax: 0202 284-8021</w:t>
      </w:r>
    </w:p>
    <w:p>
      <w:pPr>
        <w:jc w:val="left"/>
      </w:pPr>
      <w:r>
        <w:rPr>
          <w:b/>
        </w:rPr>
        <w:t>Tgb.-Nr.:</w:t>
      </w:r>
      <w:r>
        <w:t xml:space="preserve"> ST/0644722/2025 | </w:t>
      </w:r>
      <w:r>
        <w:rPr>
          <w:b/>
        </w:rPr>
        <w:t>Vorgang:</w:t>
      </w:r>
      <w:r>
        <w:t xml:space="preserve"> 26 Js 1448/25 StA Wuppertal (Lemke/Kranz); Erkenntnisübermittlung an 26 Js 1447/25 / 26 KLs 4/26 (Sowinski)</w:t>
      </w:r>
    </w:p>
    <w:p>
      <w:pPr>
        <w:jc w:val="left"/>
      </w:pPr>
      <w:r>
        <w:t>Wuppertal, den 3. Juni 2026</w:t>
      </w:r>
    </w:p>
    <w:p>
      <w:pPr>
        <w:jc w:val="left"/>
      </w:pPr>
      <w:r>
        <w:rPr>
          <w:b/>
        </w:rPr>
        <w:t>An die Staatsanwaltschaft Wuppertal, Oberstaatsanwältin Dr. Roggenkamp</w:t>
      </w:r>
      <w:r>
        <w:t xml:space="preserve"> — vorab elektronisch —</w:t>
      </w:r>
    </w:p>
    <w:p>
      <w:pPr>
        <w:jc w:val="left"/>
      </w:pPr>
      <w:r>
        <w:rPr>
          <w:b/>
        </w:rPr>
        <w:t>Betreff: Auswertung des Mobiltelefons des Beschuldigten Boris Kranz (Asservat 3.2); neue Erkenntnisse betreffend Marek Sowinski</w:t>
      </w:r>
    </w:p>
    <w:p>
      <w:pPr>
        <w:jc w:val="left"/>
      </w:pPr>
      <w:r>
        <w:t>Bl. 714–719 d. A.</w:t>
      </w:r>
    </w:p>
    <w:p>
      <w:pPr>
        <w:pStyle w:val="Heading2"/>
      </w:pPr>
      <w:r>
        <w:rPr>
          <w:rFonts w:ascii="Times New Roman" w:hAnsi="Times New Roman"/>
        </w:rPr>
        <w:t>1 Anlass und Asservat</w:t>
      </w:r>
    </w:p>
    <w:p>
      <w:pPr>
        <w:jc w:val="left"/>
      </w:pPr>
      <w:r>
        <w:t>Das bei der Durchsuchung vom 17. Juni 2025 sichergestellte Mobiltelefon des gesondert verfolgten Boris Kranz (Samsung Galaxy S23, Asservat 3.2) konnte zunächst nicht entsperrt werden. Die Entsperrung gelang der Zentralstelle Digitale Forensik am 20. Mai 2026. Die vollständige Extraktion wurde am 26. Mai 2026 abgeschlossen; die Auswertung der Kommunikationsinhalte erfolgte vom 27. Mai bis zum 2. Juni 2026.</w:t>
      </w:r>
    </w:p>
    <w:p>
      <w:pPr>
        <w:pStyle w:val="Heading2"/>
      </w:pPr>
      <w:r>
        <w:rPr>
          <w:rFonts w:ascii="Times New Roman" w:hAnsi="Times New Roman"/>
        </w:rPr>
        <w:t>2 Wesentliches Ergebnis</w:t>
      </w:r>
    </w:p>
    <w:p>
      <w:pPr>
        <w:jc w:val="left"/>
      </w:pPr>
      <w:r>
        <w:t>Auf dem Gerät befindet sich ein WhatsApp-Chatverlauf zwischen Kranz und dem Anschluss 0176 44219087. Der Anschluss ist auf Marek Sowinski, Wichlinghauser Straße 112, 42277 Wuppertal, registriert; die Inhalte (Ansprache als "Marek", Bezugnahmen auf die Halle Nützenberger Straße und auf "TeileMarkt24") bestätigen die Zuordnung. Der Chatverlauf ist als Anlage 2 beigefügt (Bl. 720–724 d. A.).</w:t>
      </w:r>
    </w:p>
    <w:p>
      <w:pPr>
        <w:jc w:val="left"/>
      </w:pPr>
      <w:r>
        <w:t xml:space="preserve">Aus dem Chatverlauf ergibt sich ein bislang nicht bekannter weiterer Erwerbsvorgang: Am 24. Oktober 2025 übernahm Sowinski von Kranz ein </w:t>
      </w:r>
      <w:r>
        <w:rPr>
          <w:b/>
        </w:rPr>
        <w:t>komplettes, nicht zerlegtes Fahrzeug</w:t>
      </w:r>
      <w:r>
        <w:t xml:space="preserve"> — einen Mercedes-Benz GLC 300 (amtliches Kennzeichen zum Diebstahlszeitpunkt: ME-TR 883, entwendet am 21. Oktober 2025 in Mettmann, Wiederbeschaffungswert nach Schwacke-Bewertung 68.000,00 EUR) — gegen Zahlung von 21.000,00 EUR in bar. Nach dem Chat sollte das Fahrzeug "komplett und mit Papieren nach Osten" weiterverkauft werden. Dieser Vorgang ist nicht Gegenstand der Anklage vom 2. Februar 2026 und liegt zeitlich nach den dort angeklagten Fällen.</w:t>
      </w:r>
    </w:p>
    <w:p>
      <w:pPr>
        <w:pStyle w:val="Heading2"/>
      </w:pPr>
      <w:r>
        <w:rPr>
          <w:rFonts w:ascii="Times New Roman" w:hAnsi="Times New Roman"/>
        </w:rPr>
        <w:t>3 Bewertung</w:t>
      </w:r>
    </w:p>
    <w:p>
      <w:pPr>
        <w:jc w:val="left"/>
      </w:pPr>
      <w:r>
        <w:t>Der Vorgang vom 24. Oktober 2025 unterscheidet sich von den angeklagten Fällen strukturell: Gegenstand war erstmals ein vollständiges Fahrzeug erheblichen Werts einschließlich gefälschter Papiere; der Chat deutet auf einen geplanten Export hin. Die Erklärung des Sowinski in der Hauptverhandlung, weitere Ankäufe über die zwölf angeklagten Fälle hinaus habe es nicht gegeben, ist damit nach dem Stand der Auswertung unzutreffend.</w:t>
      </w:r>
    </w:p>
    <w:p>
      <w:pPr>
        <w:pStyle w:val="Heading2"/>
      </w:pPr>
      <w:r>
        <w:rPr>
          <w:rFonts w:ascii="Times New Roman" w:hAnsi="Times New Roman"/>
        </w:rPr>
        <w:t>4 Anlagen</w:t>
      </w:r>
    </w:p>
    <w:p>
      <w:pPr>
        <w:jc w:val="left"/>
      </w:pPr>
      <w:r>
        <w:t>Anlage 1: Extraktionsbericht der Zentralstelle Digitale Forensik vom 26. Mai 2026 (Kurzfassung). Anlage 2: Chat-Export Sowinski/Kranz, Zeitraum 12. September 2025 bis 2. November 2025 (Bl. 720–724 d. A.).</w:t>
      </w:r>
    </w:p>
    <w:p>
      <w:pPr>
        <w:jc w:val="left"/>
      </w:pPr>
      <w:r>
        <w:t>KHK Petersen</w:t>
      </w:r>
    </w:p>
    <w:p>
      <w:pPr>
        <w:jc w:val="left"/>
      </w:pPr>
      <w:r>
        <w:t>Kriminalhauptkommissar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Wuppertal</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Wuppertal</w:t>
    </w:r>
  </w:p>
  <w:p>
    <w:pPr>
      <w:jc w:val="left"/>
      <w:pBdr>
        <w:bottom w:val="single" w:sz="6" w:space="2" w:color="3B3F45"/>
      </w:pBdr>
    </w:pPr>
    <w:r>
      <w:rPr>
        <w:rFonts w:ascii="Times New Roman" w:hAnsi="Times New Roman"/>
        <w:color w:val="6B6B66"/>
        <w:sz w:val="16"/>
      </w:rPr>
      <w:t>Oberstaatsanwältin Dr. Roggenkamp — vorab elektronisch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