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der Staatsanwaltschaft Wuppertal über neue Erkenntnisse (8. Juni 2026)</w:t>
      </w:r>
    </w:p>
    <w:p>
      <w:pPr>
        <w:jc w:val="left"/>
      </w:pPr>
      <w:r>
        <w:rPr>
          <w:b/>
        </w:rPr>
        <w:t>Staatsanwaltschaft Wuppertal</w:t>
      </w:r>
    </w:p>
    <w:p>
      <w:pPr>
        <w:jc w:val="left"/>
      </w:pPr>
      <w:r>
        <w:t>Eiland 2, 42103 Wuppertal</w:t>
      </w:r>
    </w:p>
    <w:p>
      <w:pPr>
        <w:jc w:val="left"/>
      </w:pPr>
      <w:r>
        <w:t>Telefon: 0202 5748-0 | Telefax: 0202 5748-390</w:t>
      </w:r>
    </w:p>
    <w:p>
      <w:pPr>
        <w:jc w:val="left"/>
      </w:pPr>
      <w:r>
        <w:rPr>
          <w:b/>
        </w:rPr>
        <w:t>Aktenzeichen:</w:t>
      </w:r>
      <w:r>
        <w:t xml:space="preserve"> 26 Js 1447/25 (26 KLs 4/26 LG Wuppertal)</w:t>
      </w:r>
    </w:p>
    <w:p>
      <w:pPr>
        <w:jc w:val="left"/>
      </w:pPr>
      <w:r>
        <w:t>Wuppertal, den 8. Juni 2026</w:t>
      </w:r>
    </w:p>
    <w:p>
      <w:pPr>
        <w:jc w:val="left"/>
      </w:pPr>
      <w:r>
        <w:t>Bl. 728–730 d. A.</w:t>
      </w:r>
    </w:p>
    <w:p>
      <w:pPr>
        <w:pStyle w:val="Heading2"/>
      </w:pPr>
      <w:r>
        <w:rPr>
          <w:rFonts w:ascii="Times New Roman" w:hAnsi="Times New Roman"/>
        </w:rPr>
        <w:t>Vermerk</w:t>
      </w:r>
    </w:p>
    <w:p>
      <w:pPr>
        <w:jc w:val="left"/>
      </w:pPr>
      <w:r>
        <w:t>1 Am 3. Juni 2026 ist der Auswertebericht des Polizeipräsidiums Wuppertal zum Mobiltelefon des gesondert verfolgten Kranz eingegangen (Bl. 714–719 d. A. nebst Chat-Export Bl. 720–724 d. A.). Danach hat der Angeklagte Sowinski am 24. Oktober 2025 — nach den angeklagten Taten und vor Anklageerhebung — ein komplettes, in Mettmann entwendetes Fahrzeug (Mercedes-Benz GLC 300, Wiederbeschaffungswert 68.000,00 EUR) für 21.000,00 EUR in bar angekauft, um es einschließlich gefälschter Papiere weiterzuveräußern.</w:t>
      </w:r>
    </w:p>
    <w:p>
      <w:pPr>
        <w:jc w:val="left"/>
      </w:pPr>
      <w:r>
        <w:t>2 Die Erkenntnis ist in zweifacher Hinsicht bedeutsam. Zum einen begründet der Vorgang den Anfangsverdacht einer weiteren, bislang nicht angeklagten Tat der gewerbsmäßigen Bandenhehlerei; es ist beabsichtigt, insoweit Anklage zu erheben und die Verbindung mit dem anhängigen Verfahren zu beantragen, nachdem die Hauptverhandlung ausgesetzt worden ist. Zum anderen erschüttert der Vorgang die Grundlage der in der Hauptverhandlung vom 28. April 2026 zustande gekommenen Verständigung: Das Geständnis des Angeklagten enthielt die ausdrückliche Erklärung, weitere Ankäufe habe es nicht gegeben. Der neue Fall übersteigt die angeklagten Einzeltaten nach Angriffsintensität (vollständiges Fahrzeug, gefälschte Papiere, Exportabsicht) und Wert erheblich.</w:t>
      </w:r>
    </w:p>
    <w:p>
      <w:pPr>
        <w:jc w:val="left"/>
      </w:pPr>
      <w:r>
        <w:t>3 Die Staatsanwaltschaft regt gegenüber der Kammer an zu prüfen, ob die Bindung an die Verständigung nach § 257c Abs. 4 Satz 1 StPO entfallen ist, weil sich tatsächlich bedeutsame Umstände neu ergeben haben und der in Aussicht gestellte Strafrahmen nicht mehr tat- und schuldangemessen erscheint. Auf das Verwertungsverbot des § 257c Abs. 4 Satz 3 StPO und die Mitteilungs- und Belehrungspflichten für den Fall der Lösung wird hingewiesen.</w:t>
      </w:r>
    </w:p>
    <w:p>
      <w:pPr>
        <w:jc w:val="left"/>
      </w:pPr>
      <w:r>
        <w:t>4 Wiedervorlage nach Eingang der Stellungnahme der Kammer; die Fertigung der Nachtragsermittlungsakte betreffend den Vorgang vom 24. Oktober 2025 ist unter dem Aktenzeichen 26 Js 902/26 verfügt.</w:t>
      </w:r>
    </w:p>
    <w:p>
      <w:pPr>
        <w:jc w:val="left"/>
      </w:pPr>
      <w:r>
        <w:t>Dr. Roggenkamp</w:t>
      </w:r>
    </w:p>
    <w:p>
      <w:pPr>
        <w:jc w:val="left"/>
      </w:pPr>
      <w:r>
        <w:t>Oberstaatsanwältin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Wuppertal</w:t>
    </w:r>
  </w:p>
  <w:p>
    <w:pPr>
      <w:jc w:val="left"/>
      <w:pBdr>
        <w:bottom w:val="single" w:sz="6" w:space="2" w:color="3B3F45"/>
      </w:pBdr>
    </w:pPr>
    <w:r>
      <w:rPr>
        <w:rFonts w:ascii="Times New Roman" w:hAnsi="Times New Roman"/>
        <w:color w:val="6B6B66"/>
        <w:sz w:val="16"/>
      </w:rPr>
      <w:t>Gericht · Aktenzeichen: 26 Js 1447/25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