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Mandatsübernahme Bankert — Strafzumessung Untreue</w:t>
      </w:r>
    </w:p>
    <w:p>
      <w:pPr>
        <w:jc w:val="left"/>
      </w:pPr>
      <w:r>
        <w:rPr>
          <w:b/>
        </w:rPr>
        <w:t>Kanzlei:</w:t>
      </w:r>
      <w:r>
        <w:t xml:space="preserve"> Wittfeldt-Steinheim Strafverteidigung, Frankfurt am Main</w:t>
      </w:r>
    </w:p>
    <w:p>
      <w:pPr>
        <w:jc w:val="left"/>
      </w:pPr>
      <w:r>
        <w:rPr>
          <w:b/>
        </w:rPr>
        <w:t>Kanzleiaktenzeichen:</w:t>
      </w:r>
      <w:r>
        <w:t xml:space="preserve"> WS-2026-STR-0414</w:t>
      </w:r>
    </w:p>
    <w:p>
      <w:pPr>
        <w:jc w:val="left"/>
      </w:pPr>
      <w:r>
        <w:rPr>
          <w:b/>
        </w:rPr>
        <w:t>Gerichtsverfahren:</w:t>
      </w:r>
      <w:r>
        <w:t xml:space="preserve"> LG Frankfurt 5-22 KLs 188/26</w:t>
      </w:r>
    </w:p>
    <w:p>
      <w:pPr>
        <w:jc w:val="left"/>
      </w:pPr>
      <w:r>
        <w:rPr>
          <w:b/>
        </w:rPr>
        <w:t>Anwältin:</w:t>
      </w:r>
      <w:r>
        <w:t xml:space="preserve"> Prof. Dr. Henrike Wittfeldt-Steinheim</w:t>
      </w:r>
    </w:p>
    <w:p>
      <w:pPr>
        <w:jc w:val="left"/>
      </w:pPr>
      <w:r>
        <w:rPr>
          <w:b/>
        </w:rPr>
        <w:t>Erstgespräch:</w:t>
      </w:r>
      <w:r>
        <w:t xml:space="preserve"> 04.02.2026</w:t>
      </w:r>
    </w:p>
    <w:p/>
    <w:p>
      <w:pPr>
        <w:pStyle w:val="Heading2"/>
      </w:pPr>
      <w:r>
        <w:rPr>
          <w:rFonts w:ascii="Times New Roman" w:hAnsi="Times New Roman"/>
        </w:rPr>
        <w:t>Notiz zum Erstgespräch</w:t>
      </w:r>
    </w:p>
    <w:p>
      <w:pPr>
        <w:jc w:val="left"/>
      </w:pPr>
      <w:r>
        <w:t>Herr Konrad Bankert, geb. 17.09.1971, wohnhaft Sachsenhäuser Ufer 22, 60594 Frankfurt am Main, erschien am 04.02.2026 in Begleitung seiner Ehefrau Sandra Bankert (geb. Rohrmann) zum Erstgespräch. Herr Bankert ist seit dem 19.01.2026 aufgrund Haftbefehls des Amtsgerichts Frankfurt (AZ: 932 Gs 1114/26) in Untersuchungshaft in der JVA Frankfurt I. Er wurde für dieses Gespräch gemäß § 148 StPO vorgeführt.</w:t>
      </w:r>
    </w:p>
    <w:p>
      <w:pPr>
        <w:pStyle w:val="Heading3"/>
      </w:pPr>
      <w:r>
        <w:rPr>
          <w:rFonts w:ascii="Times New Roman" w:hAnsi="Times New Roman"/>
        </w:rPr>
        <w:t>Sachverhaltsdarstellung Mandant</w:t>
      </w:r>
    </w:p>
    <w:p>
      <w:pPr>
        <w:jc w:val="left"/>
      </w:pPr>
      <w:r>
        <w:t>Herr Bankert schildert, er habe als Prokurist der Müller &amp; Schmitt Treuhand GmbH (Sitz: Neue Mainzer Straße 74, 60311 Frankfurt) von 2008 bis 2024 im Bereich Kapitalanlageberatung und Treuhandgeschäfte gearbeitet. Zwischen Januar 2020 und Oktober 2024 habe er systematisch Überweisungen von Klientengeldern (Fremdvermögen) auf Konten der Solarwind Capital LP (Liechtenstein) veranlasst. Die Solarwind Capital LP stehe faktisch unter seiner Kontrolle, da er der wirtschaftlich Berechtigte sei.</w:t>
      </w:r>
    </w:p>
    <w:p>
      <w:pPr>
        <w:jc w:val="left"/>
      </w:pPr>
      <w:r>
        <w:t>Bankert gibt an, er habe die Gelder nicht für sich verbraucht, sondern am Kapitalmarkt anlegen wollen, um Verluste bei einem anderen Klientenmandat zu kompensieren. Die Strategie sei gescheitert. Der Gesamtschaden belaufe sich nach Angaben der Staatsanwaltschaft auf 9 Mio. EUR.</w:t>
      </w:r>
    </w:p>
    <w:p>
      <w:pPr>
        <w:jc w:val="left"/>
      </w:pPr>
      <w:r>
        <w:t>Er habe sich nach Aufdeckung des Sachverhalts im Oktober 2024 bei der Geschäftsführung der Müller &amp; Schmitt GmbH gemeldet und eine Selbstanzeige erstattet. Seit Haftbefehl am 19.01.2026 befinde er sich in U-Haft.</w:t>
      </w:r>
    </w:p>
    <w:p>
      <w:pPr>
        <w:pStyle w:val="Heading3"/>
      </w:pPr>
      <w:r>
        <w:rPr>
          <w:rFonts w:ascii="Times New Roman" w:hAnsi="Times New Roman"/>
        </w:rPr>
        <w:t>Geständnisbereitschaft</w:t>
      </w:r>
    </w:p>
    <w:p>
      <w:pPr>
        <w:jc w:val="left"/>
      </w:pPr>
      <w:r>
        <w:t>Herr Bankert erklärt ausdrücklich, er sei bereit, ein vollumfängliches Geständnis abzulegen. Er wolle die Strafe auf sich nehmen und das Verfahren nicht in die Länge ziehen. Seine Familie — Ehefrau Sandra (schwere Herzerkrankung, Wartelistenstatus Transplantation) sowie zwei Söhne (David, 26, Masterstudium Betriebswirtschaft; Lukas, 23, Masterstudium Informatik) — leide erheblich.</w:t>
      </w:r>
    </w:p>
    <w:p>
      <w:pPr>
        <w:pStyle w:val="Heading3"/>
      </w:pPr>
      <w:r>
        <w:rPr>
          <w:rFonts w:ascii="Times New Roman" w:hAnsi="Times New Roman"/>
        </w:rPr>
        <w:t>Schadenswiedergutmachung</w:t>
      </w:r>
    </w:p>
    <w:p>
      <w:pPr>
        <w:jc w:val="left"/>
      </w:pPr>
      <w:r>
        <w:t>Bankert teilt mit, er habe aus eigenen Ersparnissen, Lebensversicherungen und durch Verkauf der Immobilie (Immobilienwert lt. Gutachten 1,1 Mio. EUR; Verkauf zum 28.02.2026 vereinbart) bereits 4,2 Mio. EUR auf ein Anderkonto der Kanzlei überwiesen, das als Wiedergutmachungspool für die Geschädigten dient. Die Müller &amp; Schmitt GmbH als Geschädigte hat die Zahlung schriftlich bestätigt. Restsschaden: 4,8 Mio. EUR.</w:t>
      </w:r>
    </w:p>
    <w:p>
      <w:pPr>
        <w:pStyle w:val="Heading3"/>
      </w:pPr>
      <w:r>
        <w:rPr>
          <w:rFonts w:ascii="Times New Roman" w:hAnsi="Times New Roman"/>
        </w:rPr>
        <w:t>Mandatserteilung</w:t>
      </w:r>
    </w:p>
    <w:p>
      <w:pPr>
        <w:jc w:val="left"/>
      </w:pPr>
      <w:r>
        <w:t>Vollmacht erteilt am 04.02.2026. Mandatsgegenstand: Verteidigung im Hauptverfahren LG Frankfurt 5-22 KLs 188/26, insbesondere Strafzumessung nach § 46 StGB, Einwirken auf Strafmaß unter 2 Jahre mit Bewährungsaussetzung gemäß § 56 StGB, hilfsweise Gesamtfreiheitsstrafe unter 3 Jahren mit Bewährungsantrag.</w:t>
      </w:r>
    </w:p>
    <w:p>
      <w:pPr>
        <w:pStyle w:val="Heading3"/>
      </w:pPr>
      <w:r>
        <w:rPr>
          <w:rFonts w:ascii="Times New Roman" w:hAnsi="Times New Roman"/>
        </w:rPr>
        <w:t>Strategie-Erstnotiz</w:t>
      </w:r>
    </w:p>
    <w:p>
      <w:pPr>
        <w:jc w:val="left"/>
      </w:pPr>
      <w:r>
        <w:t>Die Verteidigungsstrategie konzentriert sich auf die Strafzumessung, nicht auf den Schuldspruch. Bankert wird die Tat einräumen (§ 46 Abs. 2 StGB: Geständnis als Entlastungsmoment). Zentrale Argumente:</w:t>
      </w:r>
    </w:p>
    <w:p>
      <w:pPr>
        <w:pStyle w:val="ListNumber"/>
      </w:pPr>
      <w:r>
        <w:t>Schadenswiedergutmachung gemäß § 46a StGB (4,2 Mio. EUR, ca. 47 % des Gesamtschadens).</w:t>
      </w:r>
    </w:p>
    <w:p>
      <w:pPr>
        <w:pStyle w:val="ListNumber"/>
      </w:pPr>
      <w:r>
        <w:t>Vollständige Vorstrafenfreiheit; keine einschlägigen Vorverfahren.</w:t>
      </w:r>
    </w:p>
    <w:p>
      <w:pPr>
        <w:pStyle w:val="ListNumber"/>
      </w:pPr>
      <w:r>
        <w:t>Geständnis ohne Auflagen im Ermittlungsverfahren.</w:t>
      </w:r>
    </w:p>
    <w:p>
      <w:pPr>
        <w:pStyle w:val="ListNumber"/>
      </w:pPr>
      <w:r>
        <w:t>Täter handelte aus finanziellem Druck (Kompensation vorheriger Verluste), kein primär eigennütziges Motiv.</w:t>
      </w:r>
    </w:p>
    <w:p>
      <w:pPr>
        <w:pStyle w:val="ListNumber"/>
      </w:pPr>
      <w:r>
        <w:t>Erhebliche persönliche Folgen: Berufsverlust, drohende Insolvenz, Ehefrau schwer krank.</w:t>
      </w:r>
    </w:p>
    <w:p>
      <w:pPr>
        <w:pStyle w:val="ListNumber"/>
      </w:pPr>
      <w:r>
        <w:t>Vergleichsrechtsprechung BGH: Untreue-Schaden 9 Mio. EUR bewegt sich im Bereich, der bei vollständiger Schadenswiedergutmachung und Geständnis eine Strafaussetzung zur Bewährung rechtfertigen kann.</w:t>
      </w:r>
    </w:p>
    <w:p>
      <w:pPr>
        <w:jc w:val="left"/>
      </w:pPr>
      <w:r>
        <w:t>Nächste Schritte: Akteneinsicht beantragen; Termin Hauptverhandlung abwarten; Rechtsgespräch mit Staatsanwaltschaft anstreben.</w:t>
      </w:r>
    </w:p>
    <w:p/>
    <w:p>
      <w:pPr>
        <w:jc w:val="left"/>
      </w:pPr>
      <w:r>
        <w:rPr>
          <w:b/>
        </w:rPr>
        <w:t>Verfasst von:</w:t>
      </w:r>
      <w:r>
        <w:t xml:space="preserve"> Prof. Dr. H. Wittfeldt-Steinheim</w:t>
      </w:r>
    </w:p>
    <w:p>
      <w:pPr>
        <w:jc w:val="left"/>
      </w:pPr>
      <w:r>
        <w:rPr>
          <w:b/>
        </w:rPr>
        <w:t>Datum:</w:t>
      </w:r>
      <w:r>
        <w:t xml:space="preserve"> 04.02.2026</w:t>
      </w:r>
    </w:p>
    <w:p>
      <w:pPr>
        <w:jc w:val="left"/>
      </w:pPr>
      <w:r>
        <w:rPr>
          <w:b/>
        </w:rPr>
        <w:t>Quelle § 46 StGB:</w:t>
      </w:r>
      <w:r>
        <w:t xml:space="preserve"> https://dejure.org/gesetze/StGB/46.html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Gerichtsverfahren: LG Frankfurt 5-22 KLs 188/26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Gerichtsverfahren: LG Frankfurt 5-22 KLs 188/26</w:t>
    </w:r>
  </w:p>
  <w:p>
    <w:pPr>
      <w:jc w:val="left"/>
      <w:pBdr>
        <w:bottom w:val="single" w:sz="6" w:space="2" w:color="3B3F45"/>
      </w:pBdr>
    </w:pPr>
    <w:r>
      <w:rPr>
        <w:rFonts w:ascii="Times New Roman" w:hAnsi="Times New Roman"/>
        <w:color w:val="6B6B66"/>
        <w:sz w:val="16"/>
      </w:rPr>
      <w:t>Gericht · aktenzeichen: WS-2026-STR-0414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