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Anklageschrift — Staatsanwaltschaft Frankfurt am Main</w:t>
      </w:r>
    </w:p>
    <w:p>
      <w:pPr>
        <w:jc w:val="left"/>
      </w:pPr>
      <w:r>
        <w:rPr>
          <w:b/>
        </w:rPr>
        <w:t>Aktenzeichen StA:</w:t>
      </w:r>
      <w:r>
        <w:t xml:space="preserve"> 92 Js 1822/25</w:t>
      </w:r>
    </w:p>
    <w:p>
      <w:pPr>
        <w:jc w:val="left"/>
      </w:pPr>
      <w:r>
        <w:rPr>
          <w:b/>
        </w:rPr>
        <w:t>Gericht:</w:t>
      </w:r>
      <w:r>
        <w:t xml:space="preserve"> Landgericht Frankfurt am Main, 5. Große Strafkammer</w:t>
      </w:r>
    </w:p>
    <w:p>
      <w:pPr>
        <w:jc w:val="left"/>
      </w:pPr>
      <w:r>
        <w:rPr>
          <w:b/>
        </w:rPr>
        <w:t>Datum:</w:t>
      </w:r>
      <w:r>
        <w:t xml:space="preserve"> 28. Januar 2026</w:t>
      </w:r>
    </w:p>
    <w:p/>
    <w:p>
      <w:pPr>
        <w:pStyle w:val="Heading2"/>
      </w:pPr>
      <w:r>
        <w:rPr>
          <w:rFonts w:ascii="Times New Roman" w:hAnsi="Times New Roman"/>
        </w:rPr>
        <w:t>Anklageschrift</w:t>
      </w:r>
    </w:p>
    <w:p>
      <w:pPr>
        <w:jc w:val="left"/>
      </w:pPr>
      <w:r>
        <w:rPr>
          <w:b/>
        </w:rPr>
        <w:t>Staatsanwaltschaft Frankfurt am Main</w:t>
      </w:r>
    </w:p>
    <w:p>
      <w:pPr>
        <w:jc w:val="left"/>
      </w:pPr>
      <w:r>
        <w:t>Kleebergstraße 2</w:t>
      </w:r>
    </w:p>
    <w:p>
      <w:pPr>
        <w:jc w:val="left"/>
      </w:pPr>
      <w:r>
        <w:t>60313 Frankfurt am Main</w:t>
      </w:r>
    </w:p>
    <w:p>
      <w:pPr>
        <w:jc w:val="left"/>
      </w:pPr>
      <w:r>
        <w:rPr>
          <w:b/>
        </w:rPr>
        <w:t>In der Strafsache gegen</w:t>
      </w:r>
    </w:p>
    <w:p>
      <w:pPr>
        <w:jc w:val="left"/>
      </w:pPr>
      <w:r>
        <w:t>Konrad Bankert,</w:t>
      </w:r>
    </w:p>
    <w:p>
      <w:pPr>
        <w:jc w:val="left"/>
      </w:pPr>
      <w:r>
        <w:t>geb. 17.09.1971 in Dortmund,</w:t>
      </w:r>
    </w:p>
    <w:p>
      <w:pPr>
        <w:jc w:val="left"/>
      </w:pPr>
      <w:r>
        <w:t>wohnhaft zuletzt: Sachsenhäuser Ufer 22, 60594 Frankfurt am Main,</w:t>
      </w:r>
    </w:p>
    <w:p>
      <w:pPr>
        <w:jc w:val="left"/>
      </w:pPr>
      <w:r>
        <w:t>derzeit: JVA Frankfurt I, Hammelsgasse 1, 60311 Frankfurt am Main,</w:t>
      </w:r>
    </w:p>
    <w:p>
      <w:pPr>
        <w:jc w:val="left"/>
      </w:pPr>
      <w:r>
        <w:t>vertr. durch: Prof. Dr. Henrike Wittfeldt-Steinheim, Bockenheimer Anlage 18, 60322 Frankfurt am Main</w:t>
      </w:r>
    </w:p>
    <w:p>
      <w:pPr>
        <w:jc w:val="left"/>
      </w:pPr>
      <w:r>
        <w:rPr>
          <w:b/>
        </w:rPr>
        <w:t>wegen:</w:t>
      </w:r>
      <w:r>
        <w:t xml:space="preserve"> Untreue (§ 266 Abs. 1, Abs. 2 StGB i.V.m. § 263 Abs. 3 Nr. 2 StGB analog)</w:t>
      </w:r>
    </w:p>
    <w:p/>
    <w:p>
      <w:pPr>
        <w:pStyle w:val="Heading2"/>
      </w:pPr>
      <w:r>
        <w:rPr>
          <w:rFonts w:ascii="Times New Roman" w:hAnsi="Times New Roman"/>
        </w:rPr>
        <w:t>I. Anklagesatz</w:t>
      </w:r>
    </w:p>
    <w:p>
      <w:pPr>
        <w:jc w:val="left"/>
      </w:pPr>
      <w:r>
        <w:t>Der Angeklagte Konrad Bankert hat im Zeitraum von Januar 2020 bis Oktober 2024 als Prokurist und damit Vermögensbetreuungspflichtiger der Müller &amp; Schmitt Treuhand GmbH (Neue Mainzer Straße 74, 60311 Frankfurt am Main) in 110 rechtlich selbständigen Fällen die ihm obliegenden Vermögensfürsorgepflichten gegenüber der Geschädigten und deren Treuhandklientel verletzt und dadurch einem Vermögensnachteil von insgesamt 9.000.000 EUR (neun Millionen Euro) herbeigeführt.</w:t>
      </w:r>
    </w:p>
    <w:p>
      <w:pPr>
        <w:jc w:val="left"/>
      </w:pPr>
      <w:r>
        <w:t>Im Einzelnen:</w:t>
      </w:r>
    </w:p>
    <w:p>
      <w:pPr>
        <w:jc w:val="left"/>
      </w:pPr>
      <w:r>
        <w:rPr>
          <w:b/>
        </w:rPr>
        <w:t>Tatphase I (Januar 2020 — Dezember 2021, Fälle 1–42):</w:t>
      </w:r>
    </w:p>
    <w:p>
      <w:pPr>
        <w:jc w:val="left"/>
      </w:pPr>
      <w:r>
        <w:t>Der Angeklagte veranlasste 42 Überweisungen in einer Gesamthöhe von 3.200.000 EUR von den bei der Deutschen Bank AG (Frankfurt, Kto-Nr. DE44 5007 0010 0044 7890 00) und der Commerzbank AG (Frankfurt, Kto-Nr. DE28 2004 0060 0608 7620 00) geführten Treuhandkonten der Müller &amp; Schmitt Treuhand GmbH auf ein Konto der Solarwind Capital LP (Bank LGT, Vaduz, Liechtenstein), deren alleiniger wirtschaftlich Berechtigter er war.</w:t>
      </w:r>
    </w:p>
    <w:p>
      <w:pPr>
        <w:jc w:val="left"/>
      </w:pPr>
      <w:r>
        <w:rPr>
          <w:b/>
        </w:rPr>
        <w:t>Tatphase II (Januar 2022 — Oktober 2024, Fälle 43–110):</w:t>
      </w:r>
    </w:p>
    <w:p>
      <w:pPr>
        <w:jc w:val="left"/>
      </w:pPr>
      <w:r>
        <w:t>Der Angeklagte veranlasste weitere 68 Überweisungen in einer Gesamthöhe von 5.800.000 EUR auf dasselbe Konto der Solarwind Capital LP. Die Überweisungen wurden durch gefälschte Buchungsbelege (als "Dienstleistungsgebühren", "Anlagemandate" und "Beraterhonorare" deklariert) in der internen Buchhaltung der Müller &amp; Schmitt GmbH verschleiert.</w:t>
      </w:r>
    </w:p>
    <w:p/>
    <w:p>
      <w:pPr>
        <w:pStyle w:val="Heading2"/>
      </w:pPr>
      <w:r>
        <w:rPr>
          <w:rFonts w:ascii="Times New Roman" w:hAnsi="Times New Roman"/>
        </w:rPr>
        <w:t>II. Angewendetes Recht</w:t>
      </w:r>
    </w:p>
    <w:p>
      <w:pPr>
        <w:pStyle w:val="ListBullet"/>
      </w:pPr>
      <w:r>
        <w:t>§ 266 Abs. 1 StGB (Untreue, Missbrauchstatbestand)</w:t>
      </w:r>
    </w:p>
    <w:p>
      <w:pPr>
        <w:pStyle w:val="ListBullet"/>
      </w:pPr>
      <w:r>
        <w:t>§ 266 Abs. 2 StGB i.V.m. § 263 Abs. 3 Nr. 2 StGB (besonders schwerer Fall — Schaden von mehr als 50.000 EUR, gewerbsmäßiges Handeln)</w:t>
      </w:r>
    </w:p>
    <w:p>
      <w:pPr>
        <w:pStyle w:val="ListBullet"/>
      </w:pPr>
      <w:r>
        <w:t>§§ 52, 53 StGB (Tateinheit / Tatmehrheit)</w:t>
      </w:r>
    </w:p>
    <w:p>
      <w:pPr>
        <w:jc w:val="left"/>
      </w:pPr>
      <w:r>
        <w:rPr>
          <w:b/>
        </w:rPr>
        <w:t>Strafrahmen:</w:t>
      </w:r>
      <w:r>
        <w:t xml:space="preserve"> § 266 Abs. 2 StGB: 1 Jahr bis 10 Jahre Freiheitsstrafe.</w:t>
      </w:r>
    </w:p>
    <w:p/>
    <w:p>
      <w:pPr>
        <w:pStyle w:val="Heading2"/>
      </w:pPr>
      <w:r>
        <w:rPr>
          <w:rFonts w:ascii="Times New Roman" w:hAnsi="Times New Roman"/>
        </w:rPr>
        <w:t>III. Beweismittel</w:t>
      </w:r>
    </w:p>
    <w:p>
      <w:pPr>
        <w:pStyle w:val="ListNumber"/>
      </w:pPr>
      <w:r>
        <w:t>Geständnis des Angeklagten vom 22.10.2024 (Protokoll Selbstanzeige) und im Ermittlungsverfahren.</w:t>
      </w:r>
    </w:p>
    <w:p>
      <w:pPr>
        <w:pStyle w:val="ListNumber"/>
      </w:pPr>
      <w:r>
        <w:t>Buchungsbelege der Müller &amp; Schmitt Treuhand GmbH (Sicherstellung 22.10.2024).</w:t>
      </w:r>
    </w:p>
    <w:p>
      <w:pPr>
        <w:pStyle w:val="ListNumber"/>
      </w:pPr>
      <w:r>
        <w:t>Kontoauszüge Solarwind Capital LP (Rechtshilfeersuchen Liechtenstein, Übermittlung 15.12.2025).</w:t>
      </w:r>
    </w:p>
    <w:p>
      <w:pPr>
        <w:pStyle w:val="ListNumber"/>
      </w:pPr>
      <w:r>
        <w:t>Gutachten Wirtschaftsprüfer Rainer Fecht, Fecht &amp; Partner GmbH, Frankfurt, vom 10.11.2024.</w:t>
      </w:r>
    </w:p>
    <w:p>
      <w:pPr>
        <w:pStyle w:val="ListNumber"/>
      </w:pPr>
      <w:r>
        <w:t>Zeugen: a) GF Markus Schmitt (Müller &amp; Schmitt GmbH), b) WP Rainer Fecht, c) Sandra Bankert (Ehefrau, zur Kenntnis).</w:t>
      </w:r>
    </w:p>
    <w:p>
      <w:pPr>
        <w:pStyle w:val="ListNumber"/>
      </w:pPr>
      <w:r>
        <w:t>Auszug Handelsregister HRB 94721 (Müller &amp; Schmitt Treuhand GmbH).</w:t>
      </w:r>
    </w:p>
    <w:p>
      <w:pPr>
        <w:pStyle w:val="ListNumber"/>
      </w:pPr>
      <w:r>
        <w:t>Gesellschaftsunterlagen Solarwind Capital LP (FL-Register).</w:t>
      </w:r>
    </w:p>
    <w:p/>
    <w:p>
      <w:pPr>
        <w:pStyle w:val="Heading2"/>
      </w:pPr>
      <w:r>
        <w:rPr>
          <w:rFonts w:ascii="Times New Roman" w:hAnsi="Times New Roman"/>
        </w:rPr>
        <w:t>IV. Strafmaßforderung</w:t>
      </w:r>
    </w:p>
    <w:p>
      <w:pPr>
        <w:jc w:val="left"/>
      </w:pPr>
      <w:r>
        <w:t xml:space="preserve">Die Staatsanwaltschaft wird in der Hauptverhandlung eine Freiheitsstrafe von </w:t>
      </w:r>
      <w:r>
        <w:rPr>
          <w:b/>
        </w:rPr>
        <w:t>6 Jahren und 6 Monaten</w:t>
      </w:r>
      <w:r>
        <w:t xml:space="preserve"> beantragen.</w:t>
      </w:r>
    </w:p>
    <w:p>
      <w:pPr>
        <w:jc w:val="left"/>
      </w:pPr>
      <w:r>
        <w:t>Zur Begründung: Der Strafrahmen des § 266 Abs. 2 StGB reicht bis 10 Jahre. Der Gesamtschaden von 9 Mio. EUR liegt erheblich über dem Schwellenwert des besonders schweren Falles. Die Tatdauer von vier Jahren und die Anzahl von 110 Einzeltaten belegen besondere kriminelle Energie. Ein Geständnis und eine teilweise Schadenswiedergutmachung sind strafmildernd zu berücksichtigen, rechtfertigen jedoch keine Strafaussetzung zur Bewährung gemäß § 56 StGB.</w:t>
      </w:r>
    </w:p>
    <w:p/>
    <w:p>
      <w:pPr>
        <w:jc w:val="left"/>
      </w:pPr>
      <w:r>
        <w:rPr>
          <w:b/>
        </w:rPr>
        <w:t>Staatsanwaltschaft Frankfurt am Main</w:t>
      </w:r>
    </w:p>
    <w:p>
      <w:pPr>
        <w:jc w:val="left"/>
      </w:pPr>
      <w:r>
        <w:t>OStA Dr. Rainer Holtkamp</w:t>
      </w:r>
    </w:p>
    <w:p>
      <w:pPr>
        <w:jc w:val="left"/>
      </w:pPr>
      <w:r>
        <w:t>Frankfurt am Main, 28. Januar 2026</w:t>
      </w:r>
    </w:p>
    <w:p>
      <w:pPr>
        <w:jc w:val="left"/>
      </w:pPr>
      <w:r>
        <w:rPr>
          <w:b/>
        </w:rPr>
        <w:t>Quelle § 266 StGB:</w:t>
      </w:r>
      <w:r>
        <w:t xml:space="preserve"> https://dejure.org/gesetze/StGB/266.html</w:t>
      </w:r>
    </w:p>
    <w:p>
      <w:pPr>
        <w:jc w:val="left"/>
      </w:pPr>
      <w:r>
        <w:rPr>
          <w:b/>
        </w:rPr>
        <w:t>Quelle § 263 StGB:</w:t>
      </w:r>
      <w:r>
        <w:t xml:space="preserve"> https://dejure.org/gesetze/StGB/263.html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Frankfurt</w:t>
    </w:r>
  </w:p>
  <w:p>
    <w:pPr>
      <w:jc w:val="left"/>
      <w:pBdr>
        <w:bottom w:val="single" w:sz="6" w:space="2" w:color="3B3F45"/>
      </w:pBdr>
    </w:pPr>
    <w:r>
      <w:rPr>
        <w:rFonts w:ascii="Times New Roman" w:hAnsi="Times New Roman"/>
        <w:color w:val="6B6B66"/>
        <w:sz w:val="16"/>
      </w:rPr>
      <w:t>Gericht · Aktenzeichen StA: 92 Js 1822/25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